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R4-2419219</w:t>
      </w:r>
      <w:bookmarkStart w:id="13" w:name="_GoBack"/>
      <w:bookmarkEnd w:id="13"/>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hint="eastAsia" w:ascii="Arial" w:hAnsi="Arial" w:cs="Arial"/>
          <w:b/>
          <w:sz w:val="24"/>
          <w:szCs w:val="24"/>
          <w:lang w:val="en-US" w:eastAsia="zh-CN"/>
        </w:rPr>
        <w:t>Orlando, USA,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22</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Nov,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7.20.1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6"/>
              <w:numPr>
                <w:ilvl w:val="0"/>
                <w:numId w:val="0"/>
              </w:numPr>
              <w:suppressLineNumbers w:val="0"/>
              <w:spacing w:beforeAutospacing="0" w:afterAutospacing="0"/>
              <w:ind w:left="864" w:right="0" w:hanging="864"/>
              <w:rPr>
                <w:rFonts w:hint="default"/>
                <w:lang w:val="en-US"/>
              </w:rPr>
            </w:pPr>
            <w:r>
              <w:rPr>
                <w:rFonts w:hint="default"/>
                <w:lang w:val="en-US"/>
              </w:rPr>
              <w:t xml:space="preserve">Issue 1-1-1: </w:t>
            </w:r>
            <w:bookmarkStart w:id="1" w:name="_Hlk179476888"/>
            <w:r>
              <w:rPr>
                <w:rFonts w:hint="default"/>
                <w:lang w:val="en-US"/>
              </w:rPr>
              <w:t>Minimum channel bandwidth for SBFD</w:t>
            </w:r>
            <w:bookmarkEnd w:id="1"/>
            <w:r>
              <w:rPr>
                <w:rFonts w:hint="default"/>
                <w:lang w:val="en-US"/>
              </w:rPr>
              <w:t xml:space="preserve"> (X MHz)</w:t>
            </w:r>
          </w:p>
          <w:p>
            <w:pPr>
              <w:keepNext w:val="0"/>
              <w:keepLines w:val="0"/>
              <w:suppressLineNumbers w:val="0"/>
              <w:spacing w:before="0" w:beforeAutospacing="0" w:after="120" w:afterAutospacing="0" w:line="259" w:lineRule="auto"/>
              <w:ind w:left="0" w:right="0"/>
              <w:rPr>
                <w:rFonts w:hint="default"/>
                <w:highlight w:val="green"/>
                <w:lang w:val="en-US"/>
              </w:rPr>
            </w:pPr>
            <w:bookmarkStart w:id="2" w:name="_Hlk179978728"/>
            <w:r>
              <w:rPr>
                <w:rFonts w:hint="default"/>
                <w:highlight w:val="green"/>
                <w:lang w:val="en-US"/>
              </w:rPr>
              <w:t xml:space="preserve">Agreement: </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bookmarkStart w:id="3" w:name="_Hlk179896605"/>
            <w:r>
              <w:rPr>
                <w:rFonts w:hint="default" w:eastAsia="宋体"/>
                <w:szCs w:val="24"/>
                <w:lang w:eastAsia="zh-CN"/>
              </w:rPr>
              <w:t xml:space="preserve">Declaration-based method, and SBFD is possible to be used on any TDD band, with the following principle: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bandwidth(s) is declared by gNB vendors</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bandwidth(s) is from existing channel bandwidth defined in TS 38.104</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The supported channel bandwidth shall be no less than X MHz</w:t>
            </w:r>
          </w:p>
          <w:p>
            <w:pPr>
              <w:pStyle w:val="36"/>
              <w:keepNext w:val="0"/>
              <w:keepLines w:val="0"/>
              <w:numPr>
                <w:ilvl w:val="2"/>
                <w:numId w:val="2"/>
              </w:numPr>
              <w:suppressLineNumbers w:val="0"/>
              <w:tabs>
                <w:tab w:val="left" w:pos="5954"/>
              </w:tabs>
              <w:overflowPunct/>
              <w:autoSpaceDE/>
              <w:autoSpaceDN/>
              <w:adjustRightInd/>
              <w:spacing w:before="0" w:beforeAutospacing="0" w:after="0" w:afterAutospacing="0"/>
              <w:ind w:right="0" w:firstLineChars="0"/>
              <w:textAlignment w:val="auto"/>
              <w:rPr>
                <w:rFonts w:hint="default" w:eastAsia="宋体"/>
                <w:szCs w:val="24"/>
                <w:lang w:eastAsia="zh-CN"/>
              </w:rPr>
            </w:pPr>
            <w:r>
              <w:rPr>
                <w:rFonts w:hint="eastAsia" w:eastAsia="宋体"/>
                <w:szCs w:val="24"/>
                <w:lang w:eastAsia="zh-CN"/>
              </w:rPr>
              <w:t>X</w:t>
            </w:r>
            <w:r>
              <w:rPr>
                <w:rFonts w:hint="default" w:eastAsia="宋体"/>
                <w:szCs w:val="24"/>
                <w:lang w:eastAsia="zh-CN"/>
              </w:rPr>
              <w:t xml:space="preserve"> = 40 as the default value</w:t>
            </w:r>
          </w:p>
          <w:p>
            <w:pPr>
              <w:pStyle w:val="36"/>
              <w:keepNext w:val="0"/>
              <w:keepLines w:val="0"/>
              <w:numPr>
                <w:ilvl w:val="3"/>
                <w:numId w:val="2"/>
              </w:numPr>
              <w:suppressLineNumbers w:val="0"/>
              <w:tabs>
                <w:tab w:val="left" w:pos="5954"/>
              </w:tabs>
              <w:overflowPunct/>
              <w:autoSpaceDE/>
              <w:autoSpaceDN/>
              <w:adjustRightInd/>
              <w:spacing w:before="0" w:beforeAutospacing="0" w:after="0" w:afterAutospacing="0"/>
              <w:ind w:right="0" w:firstLineChars="0"/>
              <w:textAlignment w:val="auto"/>
              <w:rPr>
                <w:rFonts w:hint="default" w:eastAsia="宋体"/>
                <w:szCs w:val="24"/>
                <w:lang w:eastAsia="zh-CN"/>
              </w:rPr>
            </w:pPr>
            <w:r>
              <w:rPr>
                <w:rFonts w:hint="default" w:eastAsia="宋体"/>
                <w:szCs w:val="24"/>
                <w:lang w:eastAsia="zh-CN"/>
              </w:rPr>
              <w:t>For band n39, X = 20MHz is used instead.</w:t>
            </w:r>
          </w:p>
          <w:bookmarkEnd w:id="2"/>
          <w:bookmarkEnd w:id="3"/>
          <w:p>
            <w:pPr>
              <w:keepNext w:val="0"/>
              <w:keepLines w:val="0"/>
              <w:suppressLineNumbers w:val="0"/>
              <w:spacing w:before="0" w:beforeAutospacing="0" w:after="120" w:afterAutospacing="0" w:line="259" w:lineRule="auto"/>
              <w:ind w:left="0" w:right="0"/>
              <w:rPr>
                <w:rFonts w:hint="default"/>
                <w:lang w:val="en-US"/>
              </w:rPr>
            </w:pPr>
          </w:p>
          <w:p>
            <w:pPr>
              <w:pStyle w:val="6"/>
              <w:numPr>
                <w:ilvl w:val="0"/>
                <w:numId w:val="0"/>
              </w:numPr>
              <w:suppressLineNumbers w:val="0"/>
              <w:spacing w:beforeAutospacing="0" w:afterAutospacing="0"/>
              <w:ind w:left="864" w:right="0" w:hanging="864"/>
              <w:rPr>
                <w:rFonts w:hint="default"/>
                <w:lang w:val="en-US"/>
              </w:rPr>
            </w:pPr>
            <w:bookmarkStart w:id="4" w:name="_Hlk180065671"/>
            <w:r>
              <w:rPr>
                <w:rFonts w:hint="default"/>
                <w:lang w:val="en-US"/>
              </w:rPr>
              <w:t>Issue 1-1-3: Specification implementation for band/channel bandwidth support for SBFD</w:t>
            </w:r>
          </w:p>
          <w:bookmarkEnd w:id="4"/>
          <w:p>
            <w:pPr>
              <w:keepNext w:val="0"/>
              <w:keepLines w:val="0"/>
              <w:suppressLineNumbers w:val="0"/>
              <w:spacing w:before="0" w:beforeAutospacing="0" w:after="120" w:afterAutospacing="0" w:line="259" w:lineRule="auto"/>
              <w:ind w:left="0" w:right="0"/>
              <w:rPr>
                <w:rFonts w:hint="default"/>
                <w:lang w:val="en-US"/>
              </w:rPr>
            </w:pPr>
            <w:r>
              <w:rPr>
                <w:rFonts w:hint="default"/>
                <w:highlight w:val="green"/>
                <w:lang w:val="en-US"/>
              </w:rPr>
              <w:t>Agreement:</w:t>
            </w:r>
            <w:r>
              <w:rPr>
                <w:rFonts w:hint="default"/>
                <w:lang w:val="en-US"/>
              </w:rPr>
              <w:t xml:space="preserve"> </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宋体"/>
                <w:szCs w:val="24"/>
                <w:lang w:eastAsia="zh-CN"/>
              </w:rPr>
              <w:t xml:space="preserve">To include the following text in Clause 5.2 in TS 38.104: subband full duplex can be applied to the following TDD bands given in Table 5.2-1, by giving the band numbers which support SBFD.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lang w:val="en-US"/>
              </w:rPr>
              <w:t>D</w:t>
            </w:r>
            <w:r>
              <w:rPr>
                <w:rFonts w:hint="default"/>
                <w:lang w:val="en-US"/>
              </w:rPr>
              <w:t>etailed band list is provided based on the agreement for minimum channel bandwidth for SBFD</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宋体"/>
                <w:szCs w:val="24"/>
                <w:lang w:eastAsia="zh-CN"/>
              </w:rPr>
              <w:t>F</w:t>
            </w:r>
            <w:r>
              <w:rPr>
                <w:rFonts w:hint="default" w:eastAsia="宋体"/>
                <w:szCs w:val="24"/>
                <w:lang w:eastAsia="zh-CN"/>
              </w:rPr>
              <w:t>FS the band for NR-U shall be supported</w:t>
            </w:r>
          </w:p>
          <w:p>
            <w:pPr>
              <w:keepNext w:val="0"/>
              <w:keepLines w:val="0"/>
              <w:suppressLineNumbers w:val="0"/>
              <w:spacing w:before="0" w:beforeAutospacing="0" w:after="120" w:afterAutospacing="0" w:line="259" w:lineRule="auto"/>
              <w:ind w:left="0" w:right="0"/>
              <w:rPr>
                <w:rFonts w:hint="default"/>
                <w:lang w:val="en-US"/>
              </w:rPr>
            </w:pPr>
          </w:p>
          <w:p>
            <w:pPr>
              <w:pStyle w:val="6"/>
              <w:numPr>
                <w:ilvl w:val="0"/>
                <w:numId w:val="0"/>
              </w:numPr>
              <w:suppressLineNumbers w:val="0"/>
              <w:spacing w:beforeAutospacing="0" w:afterAutospacing="0"/>
              <w:ind w:left="864" w:right="0" w:hanging="864"/>
              <w:rPr>
                <w:rFonts w:hint="default"/>
                <w:lang w:val="en-US"/>
              </w:rPr>
            </w:pPr>
            <w:bookmarkStart w:id="5" w:name="_Hlk179978790"/>
            <w:r>
              <w:rPr>
                <w:rFonts w:hint="default"/>
                <w:lang w:val="en-US"/>
              </w:rPr>
              <w:t>Issue 1-1-4: Transmission bandwidth configuration for SBFD</w:t>
            </w:r>
          </w:p>
          <w:bookmarkEnd w:id="5"/>
          <w:p>
            <w:pPr>
              <w:keepNext w:val="0"/>
              <w:keepLines w:val="0"/>
              <w:suppressLineNumbers w:val="0"/>
              <w:spacing w:before="0" w:beforeAutospacing="0" w:after="120" w:afterAutospacing="0" w:line="259" w:lineRule="auto"/>
              <w:ind w:left="0" w:right="0"/>
              <w:rPr>
                <w:rFonts w:hint="default"/>
                <w:lang w:val="en-US"/>
              </w:rPr>
            </w:pPr>
            <w:bookmarkStart w:id="6" w:name="_Hlk179978815"/>
            <w:r>
              <w:rPr>
                <w:rFonts w:hint="default"/>
                <w:lang w:val="en-US"/>
              </w:rPr>
              <w:t xml:space="preserve">Way Forward: </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 xml:space="preserve">Illustrative figures from Ericsson will be used as the baseline for further study: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lang w:val="en-US"/>
              </w:rPr>
              <w:t>FFS the restriction of SCS for DL and UL subbands</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R</w:t>
            </w:r>
            <w:r>
              <w:rPr>
                <w:rFonts w:hint="default" w:eastAsiaTheme="minorEastAsia"/>
                <w:lang w:val="en-US" w:eastAsia="zh-CN"/>
              </w:rPr>
              <w:t>evisit the DUD figure based on the updated definition of N</w:t>
            </w:r>
            <w:r>
              <w:rPr>
                <w:rFonts w:hint="default" w:eastAsiaTheme="minorEastAsia"/>
                <w:vertAlign w:val="subscript"/>
                <w:lang w:val="en-US" w:eastAsia="zh-CN"/>
              </w:rPr>
              <w:t>RB,SBFD,DL</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eastAsia" w:eastAsiaTheme="minorEastAsia"/>
                <w:lang w:val="en-US" w:eastAsia="zh-CN"/>
              </w:rPr>
              <w:t>F</w:t>
            </w:r>
            <w:r>
              <w:rPr>
                <w:rFonts w:hint="default" w:eastAsiaTheme="minorEastAsia"/>
                <w:lang w:val="en-US" w:eastAsia="zh-CN"/>
              </w:rPr>
              <w:t xml:space="preserve">FS other potential issues. </w:t>
            </w:r>
          </w:p>
          <w:bookmarkEnd w:id="6"/>
          <w:p>
            <w:pPr>
              <w:keepNext w:val="0"/>
              <w:keepLines w:val="0"/>
              <w:suppressLineNumbers w:val="0"/>
              <w:spacing w:before="0" w:beforeAutospacing="0" w:after="120" w:afterAutospacing="0" w:line="259" w:lineRule="auto"/>
              <w:ind w:left="0" w:right="0"/>
              <w:rPr>
                <w:rFonts w:hint="default"/>
                <w:lang w:val="en-US"/>
              </w:rPr>
            </w:pPr>
          </w:p>
          <w:p>
            <w:pPr>
              <w:pStyle w:val="6"/>
              <w:numPr>
                <w:ilvl w:val="0"/>
                <w:numId w:val="0"/>
              </w:numPr>
              <w:suppressLineNumbers w:val="0"/>
              <w:spacing w:beforeAutospacing="0" w:afterAutospacing="0"/>
              <w:ind w:right="0"/>
              <w:rPr>
                <w:rFonts w:hint="default"/>
                <w:lang w:val="en-US"/>
              </w:rPr>
            </w:pPr>
            <w:bookmarkStart w:id="7" w:name="_Hlk179978891"/>
            <w:r>
              <w:rPr>
                <w:rFonts w:hint="default"/>
                <w:lang w:val="en-US"/>
              </w:rPr>
              <w:t>Issue 1-1-5: DL/UL subband configurations support for SBFD</w:t>
            </w:r>
          </w:p>
          <w:bookmarkEnd w:id="7"/>
          <w:p>
            <w:pPr>
              <w:keepNext w:val="0"/>
              <w:keepLines w:val="0"/>
              <w:suppressLineNumbers w:val="0"/>
              <w:spacing w:before="0" w:beforeAutospacing="0" w:after="120" w:afterAutospacing="0" w:line="259" w:lineRule="auto"/>
              <w:ind w:left="0" w:right="0"/>
              <w:rPr>
                <w:rFonts w:hint="default"/>
                <w:lang w:val="en-US"/>
              </w:rPr>
            </w:pPr>
            <w:r>
              <w:rPr>
                <w:rFonts w:hint="default"/>
                <w:lang w:val="en-US"/>
              </w:rPr>
              <w:t xml:space="preserve">Way Forward: </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eastAsia="宋体"/>
                <w:szCs w:val="24"/>
                <w:lang w:eastAsia="zh-CN"/>
              </w:rPr>
            </w:pPr>
            <w:r>
              <w:rPr>
                <w:rFonts w:hint="default" w:eastAsia="宋体"/>
                <w:szCs w:val="24"/>
                <w:lang w:eastAsia="zh-CN"/>
              </w:rPr>
              <w:t>RAN4 to further study Option 2b by considering the below additional restrictions such as:</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default" w:eastAsia="宋体"/>
                <w:szCs w:val="24"/>
                <w:lang w:eastAsia="zh-CN"/>
              </w:rPr>
              <w:t>For DUD case, the UL subband should be placed in the middle of channel bandwidth</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r>
              <w:rPr>
                <w:rFonts w:hint="eastAsia" w:eastAsia="宋体"/>
                <w:szCs w:val="24"/>
                <w:lang w:eastAsia="zh-CN"/>
              </w:rPr>
              <w:t>F</w:t>
            </w:r>
            <w:r>
              <w:rPr>
                <w:rFonts w:hint="default" w:eastAsia="宋体"/>
                <w:szCs w:val="24"/>
                <w:lang w:eastAsia="zh-CN"/>
              </w:rPr>
              <w:t>FS the number of DL subband sizes to be declared and tested</w:t>
            </w:r>
          </w:p>
          <w:p>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Alt-1</w:t>
            </w:r>
            <w:r>
              <w:rPr>
                <w:rFonts w:hint="default" w:asciiTheme="minorEastAsia" w:hAnsiTheme="minorEastAsia" w:eastAsiaTheme="minorEastAsia"/>
                <w:lang w:val="en-US" w:eastAsia="zh-CN"/>
              </w:rPr>
              <w:t xml:space="preserve">: </w:t>
            </w:r>
            <w:r>
              <w:rPr>
                <w:rFonts w:hint="default"/>
                <w:lang w:val="en-US"/>
              </w:rPr>
              <w:t>For FR1 WA BS, one DL subband size is declared to support SBFD and tested, operation with other DL subband sizes than the tested one is not allowed.</w:t>
            </w:r>
          </w:p>
          <w:p>
            <w:pPr>
              <w:pStyle w:val="36"/>
              <w:keepNext w:val="0"/>
              <w:keepLines w:val="0"/>
              <w:numPr>
                <w:ilvl w:val="3"/>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necessity of this restriction is applicable to other FR1 BS classes and FR2 BS. </w:t>
            </w:r>
          </w:p>
          <w:p>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Alt-2: For FR1 WA BS, the DL subband sizes declared to support SBFD shall be tested</w:t>
            </w:r>
          </w:p>
          <w:p>
            <w:pPr>
              <w:pStyle w:val="36"/>
              <w:keepNext w:val="0"/>
              <w:keepLines w:val="0"/>
              <w:numPr>
                <w:ilvl w:val="3"/>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necessity of this restriction is applicable to other FR1 BS classes and FR2 BS.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lang w:val="en-US"/>
              </w:rPr>
            </w:pPr>
            <w:r>
              <w:rPr>
                <w:rFonts w:hint="default" w:eastAsia="宋体"/>
                <w:szCs w:val="24"/>
                <w:lang w:eastAsia="zh-CN"/>
              </w:rPr>
              <w:t xml:space="preserve">Restriction on UL subband size based on the specific channel bandwidth </w:t>
            </w:r>
          </w:p>
          <w:p>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to specify a range of ratio for UL subband size over channel bandwidth. </w:t>
            </w:r>
          </w:p>
          <w:p>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FFS the restriction is different for DU and DUD</w:t>
            </w:r>
          </w:p>
          <w:p>
            <w:pPr>
              <w:pStyle w:val="36"/>
              <w:keepNext w:val="0"/>
              <w:keepLines w:val="0"/>
              <w:numPr>
                <w:ilvl w:val="2"/>
                <w:numId w:val="2"/>
              </w:numPr>
              <w:suppressLineNumbers w:val="0"/>
              <w:overflowPunct/>
              <w:autoSpaceDE/>
              <w:adjustRightInd/>
              <w:spacing w:before="0" w:beforeAutospacing="0" w:after="0" w:afterAutospacing="0"/>
              <w:ind w:right="0" w:firstLineChars="0"/>
              <w:textAlignment w:val="auto"/>
              <w:rPr>
                <w:rFonts w:hint="default"/>
                <w:lang w:val="en-US"/>
              </w:rPr>
            </w:pPr>
            <w:r>
              <w:rPr>
                <w:rFonts w:hint="default"/>
                <w:lang w:val="en-US"/>
              </w:rPr>
              <w:t xml:space="preserve">FFS the restriction is applied for FR2 case. </w:t>
            </w:r>
          </w:p>
          <w:p>
            <w:pPr>
              <w:keepNext w:val="0"/>
              <w:keepLines w:val="0"/>
              <w:suppressLineNumbers w:val="0"/>
              <w:spacing w:before="0" w:beforeAutospacing="0" w:after="120" w:afterAutospacing="0" w:line="259" w:lineRule="auto"/>
              <w:ind w:left="0" w:right="0"/>
              <w:rPr>
                <w:rFonts w:hint="default"/>
                <w:lang w:val="en-US"/>
              </w:rPr>
            </w:pPr>
          </w:p>
          <w:p>
            <w:pPr>
              <w:pStyle w:val="4"/>
              <w:suppressLineNumbers w:val="0"/>
              <w:spacing w:beforeAutospacing="0" w:afterAutospacing="0"/>
              <w:ind w:right="0"/>
              <w:rPr>
                <w:rFonts w:hint="default"/>
                <w:lang w:val="en-US"/>
              </w:rPr>
            </w:pPr>
            <w:r>
              <w:rPr>
                <w:rFonts w:hint="default"/>
                <w:lang w:val="en-US"/>
              </w:rPr>
              <w:t>Sub-topic 1-2</w:t>
            </w:r>
            <w:r>
              <w:rPr>
                <w:rFonts w:hint="eastAsia"/>
                <w:lang w:val="en-US"/>
              </w:rPr>
              <w:t>:</w:t>
            </w:r>
            <w:r>
              <w:rPr>
                <w:rFonts w:hint="default"/>
                <w:lang w:val="en-US"/>
              </w:rPr>
              <w:t xml:space="preserve"> Other general issues for SBFD requirements</w:t>
            </w:r>
          </w:p>
          <w:p>
            <w:pPr>
              <w:pStyle w:val="6"/>
              <w:numPr>
                <w:ilvl w:val="0"/>
                <w:numId w:val="0"/>
              </w:numPr>
              <w:suppressLineNumbers w:val="0"/>
              <w:spacing w:beforeAutospacing="0" w:afterAutospacing="0"/>
              <w:ind w:left="1008" w:right="0" w:hanging="1008"/>
              <w:rPr>
                <w:rFonts w:hint="default"/>
                <w:lang w:val="en-US"/>
              </w:rPr>
            </w:pPr>
            <w:r>
              <w:rPr>
                <w:rFonts w:hint="default"/>
                <w:lang w:val="en-US"/>
              </w:rPr>
              <w:t>Issue 1-2-1: BS RF Specification structure for SBFD requirements</w:t>
            </w:r>
          </w:p>
          <w:p>
            <w:pPr>
              <w:keepNext w:val="0"/>
              <w:keepLines w:val="0"/>
              <w:suppressLineNumbers w:val="0"/>
              <w:spacing w:before="0" w:beforeAutospacing="0" w:after="120" w:afterAutospacing="0" w:line="259" w:lineRule="auto"/>
              <w:ind w:left="0" w:right="0"/>
              <w:rPr>
                <w:rFonts w:hint="default"/>
                <w:lang w:val="en-US"/>
              </w:rPr>
            </w:pPr>
            <w:r>
              <w:rPr>
                <w:rFonts w:hint="default"/>
                <w:lang w:val="en-US"/>
              </w:rPr>
              <w:t xml:space="preserve">Way Forward: </w:t>
            </w:r>
          </w:p>
          <w:p>
            <w:pPr>
              <w:pStyle w:val="36"/>
              <w:keepNext w:val="0"/>
              <w:keepLines w:val="0"/>
              <w:numPr>
                <w:ilvl w:val="0"/>
                <w:numId w:val="2"/>
              </w:numPr>
              <w:suppressLineNumbers w:val="0"/>
              <w:overflowPunct/>
              <w:autoSpaceDE/>
              <w:autoSpaceDN/>
              <w:adjustRightInd/>
              <w:spacing w:before="0" w:beforeAutospacing="0" w:after="120" w:afterAutospacing="0" w:line="259" w:lineRule="auto"/>
              <w:ind w:left="720" w:right="0" w:firstLineChars="0"/>
              <w:textAlignment w:val="auto"/>
              <w:rPr>
                <w:rFonts w:hint="default" w:eastAsia="宋体"/>
                <w:szCs w:val="24"/>
                <w:lang w:eastAsia="zh-CN"/>
              </w:rPr>
            </w:pPr>
            <w:r>
              <w:rPr>
                <w:rFonts w:hint="default" w:eastAsia="宋体"/>
                <w:szCs w:val="24"/>
                <w:lang w:eastAsia="zh-CN"/>
              </w:rPr>
              <w:t xml:space="preserve">FFS options of how to introduce BS RF new requirements for SBFD-capable BS: </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szCs w:val="24"/>
                <w:lang w:eastAsia="zh-CN"/>
              </w:rPr>
            </w:pPr>
            <w:bookmarkStart w:id="8" w:name="_Hlk179929515"/>
            <w:r>
              <w:rPr>
                <w:rFonts w:hint="default" w:eastAsia="宋体"/>
                <w:szCs w:val="24"/>
                <w:lang w:eastAsia="zh-CN"/>
              </w:rPr>
              <w:t>Option-2: Creating new sub-clauses in TS 38.104 for RF requirements that applies for SBFD</w:t>
            </w:r>
          </w:p>
          <w:p>
            <w:pPr>
              <w:pStyle w:val="36"/>
              <w:keepNext w:val="0"/>
              <w:keepLines w:val="0"/>
              <w:numPr>
                <w:ilvl w:val="1"/>
                <w:numId w:val="2"/>
              </w:numPr>
              <w:suppressLineNumbers w:val="0"/>
              <w:overflowPunct/>
              <w:autoSpaceDE/>
              <w:autoSpaceDN/>
              <w:adjustRightInd/>
              <w:spacing w:before="0" w:beforeAutospacing="0" w:after="120" w:afterAutospacing="0" w:line="259" w:lineRule="auto"/>
              <w:ind w:right="0" w:firstLineChars="0"/>
              <w:textAlignment w:val="auto"/>
              <w:rPr>
                <w:rFonts w:hint="default" w:eastAsia="宋体"/>
                <w:vertAlign w:val="baseline"/>
                <w:lang w:val="en-US" w:eastAsia="zh-CN"/>
              </w:rPr>
            </w:pPr>
            <w:r>
              <w:rPr>
                <w:rFonts w:hint="default" w:eastAsia="宋体"/>
                <w:szCs w:val="24"/>
                <w:lang w:eastAsia="zh-CN"/>
              </w:rPr>
              <w:t>Option-3: A new specification for SBFD BS RF requirements</w:t>
            </w:r>
            <w:bookmarkEnd w:id="8"/>
          </w:p>
        </w:tc>
      </w:tr>
    </w:tbl>
    <w:p>
      <w:pPr>
        <w:tabs>
          <w:tab w:val="left" w:pos="2127"/>
        </w:tabs>
        <w:spacing w:after="0"/>
        <w:rPr>
          <w:rFonts w:hint="default" w:eastAsia="宋体"/>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9" w:name="OLE_LINK20"/>
      <w:bookmarkStart w:id="10" w:name="OLE_LINK13"/>
      <w:bookmarkStart w:id="11" w:name="OLE_LINK10"/>
      <w:bookmarkStart w:id="12" w:name="OLE_LINK14"/>
      <w:r>
        <w:rPr>
          <w:rFonts w:hint="eastAsia" w:eastAsia="Times New Roman"/>
        </w:rPr>
        <w:t xml:space="preserve"> </w:t>
      </w:r>
    </w:p>
    <w:bookmarkEnd w:id="9"/>
    <w:bookmarkEnd w:id="10"/>
    <w:bookmarkEnd w:id="11"/>
    <w:bookmarkEnd w:id="12"/>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1-1-3: Specification implementation for band/channel bandwidth support for SBFD</w:t>
      </w:r>
    </w:p>
    <w:p>
      <w:pPr>
        <w:jc w:val="both"/>
        <w:rPr>
          <w:rFonts w:hint="eastAsia"/>
          <w:lang w:val="en-US" w:eastAsia="zh-CN"/>
        </w:rPr>
      </w:pPr>
      <w:r>
        <w:rPr>
          <w:rFonts w:hint="eastAsia"/>
          <w:lang w:val="en-US" w:eastAsia="zh-CN"/>
        </w:rPr>
        <w:t>During last RAN4 meeting, there were some discussions whether NR-U bands should be supported for SBFD feature or not and there were no consensus reached yet. This will have direct impacts on lot of RF requirement since NR-U BS RF requirements are defined differently from the BS RF requirement in the licensed spectrum due to its regulatory mask and also interleaving PRB design from RAN1. Based on the above considerations, we propose to clearly clarify whether NR-U bands in FR1 should be supported or not.</w:t>
      </w:r>
    </w:p>
    <w:p>
      <w:pPr>
        <w:jc w:val="both"/>
        <w:rPr>
          <w:rFonts w:hint="default"/>
          <w:lang w:val="en-US" w:eastAsia="zh-CN"/>
        </w:rPr>
      </w:pPr>
      <w:r>
        <w:rPr>
          <w:rFonts w:hint="eastAsia"/>
          <w:b/>
          <w:bCs/>
          <w:lang w:val="en-US" w:eastAsia="zh-CN"/>
        </w:rPr>
        <w:t>Proposal 1</w:t>
      </w:r>
      <w:r>
        <w:rPr>
          <w:rFonts w:hint="eastAsia"/>
          <w:lang w:val="en-US" w:eastAsia="zh-CN"/>
        </w:rPr>
        <w:t xml:space="preserve">: propose to clearly clarify whether NR-U bands in FR1 should be supported or not. </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1-1-4: Transmission bandwidth configuration for SBFD</w:t>
      </w:r>
    </w:p>
    <w:p>
      <w:pPr>
        <w:jc w:val="both"/>
        <w:rPr>
          <w:rFonts w:hint="default"/>
          <w:lang w:val="en-US" w:eastAsia="zh-CN"/>
        </w:rPr>
      </w:pPr>
      <w:r>
        <w:rPr>
          <w:rFonts w:hint="eastAsia"/>
          <w:lang w:val="en-US" w:eastAsia="zh-CN"/>
        </w:rPr>
        <w:t xml:space="preserve">Based on the discussion in the previous RAN4 meeting, it was discussed whether to have informative figure for SBFD transmission bandwidth configuration. As shown in the following Figure 1.2.3-1, similar as the legacy BS PRB utilization, this informative figure might be useful for the clarification in the specification. </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465445" cy="1026795"/>
            <wp:effectExtent l="0" t="0" r="0" b="0"/>
            <wp:docPr id="1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IMG_256"/>
                    <pic:cNvPicPr>
                      <a:picLocks noChangeAspect="1"/>
                    </pic:cNvPicPr>
                  </pic:nvPicPr>
                  <pic:blipFill>
                    <a:blip r:embed="rId7"/>
                    <a:stretch>
                      <a:fillRect/>
                    </a:stretch>
                  </pic:blipFill>
                  <pic:spPr>
                    <a:xfrm>
                      <a:off x="0" y="0"/>
                      <a:ext cx="5465445" cy="1026795"/>
                    </a:xfrm>
                    <a:prstGeom prst="rect">
                      <a:avLst/>
                    </a:prstGeom>
                    <a:noFill/>
                    <a:ln w="9525">
                      <a:noFill/>
                    </a:ln>
                  </pic:spPr>
                </pic:pic>
              </a:graphicData>
            </a:graphic>
          </wp:inline>
        </w:drawing>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310630" cy="1132205"/>
            <wp:effectExtent l="0" t="0" r="0" b="0"/>
            <wp:docPr id="1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IMG_256"/>
                    <pic:cNvPicPr>
                      <a:picLocks noChangeAspect="1"/>
                    </pic:cNvPicPr>
                  </pic:nvPicPr>
                  <pic:blipFill>
                    <a:blip r:embed="rId8"/>
                    <a:stretch>
                      <a:fillRect/>
                    </a:stretch>
                  </pic:blipFill>
                  <pic:spPr>
                    <a:xfrm>
                      <a:off x="0" y="0"/>
                      <a:ext cx="6310630" cy="1132205"/>
                    </a:xfrm>
                    <a:prstGeom prst="rect">
                      <a:avLst/>
                    </a:prstGeom>
                    <a:noFill/>
                    <a:ln w="9525">
                      <a:noFill/>
                    </a:ln>
                  </pic:spPr>
                </pic:pic>
              </a:graphicData>
            </a:graphic>
          </wp:inline>
        </w:drawing>
      </w:r>
    </w:p>
    <w:p>
      <w:pPr>
        <w:keepNext w:val="0"/>
        <w:keepLines w:val="0"/>
        <w:widowControl/>
        <w:suppressLineNumbers w:val="0"/>
        <w:jc w:val="left"/>
      </w:pPr>
    </w:p>
    <w:p>
      <w:pPr>
        <w:pStyle w:val="51"/>
        <w:rPr>
          <w:rFonts w:hint="default"/>
          <w:lang w:val="en-US" w:eastAsia="zh-CN"/>
        </w:rPr>
      </w:pPr>
      <w:r>
        <w:rPr>
          <w:rFonts w:eastAsia="Yu Mincho"/>
        </w:rPr>
        <w:t xml:space="preserve">Figure </w:t>
      </w:r>
      <w:r>
        <w:rPr>
          <w:rFonts w:hint="eastAsia" w:eastAsia="宋体"/>
          <w:lang w:val="en-US" w:eastAsia="zh-CN"/>
        </w:rPr>
        <w:t>1.2</w:t>
      </w:r>
      <w:r>
        <w:rPr>
          <w:rFonts w:eastAsia="Yu Mincho"/>
        </w:rPr>
        <w:t>.3-1:</w:t>
      </w:r>
      <w:r>
        <w:rPr>
          <w:rFonts w:hint="eastAsia" w:eastAsia="宋体"/>
          <w:lang w:val="en-US" w:eastAsia="zh-CN"/>
        </w:rPr>
        <w:t xml:space="preserve"> SBFD</w:t>
      </w:r>
      <w:r>
        <w:rPr>
          <w:rFonts w:eastAsia="Yu Mincho"/>
        </w:rPr>
        <w:t xml:space="preserve"> BS PRB utilization</w:t>
      </w:r>
    </w:p>
    <w:p>
      <w:pPr>
        <w:jc w:val="both"/>
        <w:rPr>
          <w:rFonts w:hint="default"/>
          <w:lang w:val="en-US" w:eastAsia="zh-CN"/>
        </w:rPr>
      </w:pPr>
      <w:r>
        <w:rPr>
          <w:rFonts w:hint="eastAsia"/>
          <w:lang w:val="en-US" w:eastAsia="zh-CN"/>
        </w:rPr>
        <w:t xml:space="preserve">In addition, according to the SCS restriction in TS 38.331 specification, the SCS for active DL BWP and active UL BWP should be the same, we also highlighted in the following diagram to align the numerology in DL sub-band and UL sub-band. </w:t>
      </w:r>
    </w:p>
    <w:p>
      <w:pPr>
        <w:pStyle w:val="51"/>
        <w:rPr>
          <w:rFonts w:hint="eastAsia" w:eastAsia="宋体"/>
          <w:lang w:eastAsia="zh-CN"/>
        </w:rPr>
      </w:pPr>
      <w:r>
        <w:drawing>
          <wp:inline distT="0" distB="0" distL="114300" distR="114300">
            <wp:extent cx="6184265" cy="2047875"/>
            <wp:effectExtent l="0" t="0" r="6985" b="9525"/>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9"/>
                    <a:stretch>
                      <a:fillRect/>
                    </a:stretch>
                  </pic:blipFill>
                  <pic:spPr>
                    <a:xfrm>
                      <a:off x="0" y="0"/>
                      <a:ext cx="6184265" cy="2047875"/>
                    </a:xfrm>
                    <a:prstGeom prst="rect">
                      <a:avLst/>
                    </a:prstGeom>
                    <a:noFill/>
                    <a:ln>
                      <a:noFill/>
                    </a:ln>
                  </pic:spPr>
                </pic:pic>
              </a:graphicData>
            </a:graphic>
          </wp:inline>
        </w:drawing>
      </w:r>
    </w:p>
    <w:p>
      <w:pPr>
        <w:jc w:val="both"/>
      </w:pPr>
      <w:r>
        <w:rPr>
          <w:rFonts w:hint="eastAsia"/>
          <w:b/>
          <w:bCs/>
          <w:lang w:val="en-US" w:eastAsia="zh-CN"/>
        </w:rPr>
        <w:t>Proposal 2</w:t>
      </w:r>
      <w:r>
        <w:rPr>
          <w:rFonts w:hint="eastAsia"/>
          <w:lang w:val="en-US" w:eastAsia="zh-CN"/>
        </w:rPr>
        <w:t xml:space="preserve">: SCS for DL and UL sub-band should be the same. </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1-1-5: DL/UL subband configurations support for SBFD</w:t>
      </w:r>
    </w:p>
    <w:p>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In the previous RAN4 meeting, we have some initial discussions on how to specify the DL/UL subband configuration for SBFD. Option 2b should be best option to move forward with the following reasons:</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DL sub-band:</w:t>
      </w:r>
      <w:r>
        <w:rPr>
          <w:rFonts w:hint="eastAsia"/>
          <w:lang w:val="en-US" w:eastAsia="zh-CN"/>
        </w:rPr>
        <w:t xml:space="preserve"> if DL sub-band is specified explicitly and leave the GB and UL sub-band configuration up to the manufacture declaration, then it is not possible to specify the SBFD BS receiver requirement properly. In addition, DL sub-band configuration is mainly used for transmitter requirement definition or conformance testing which is somehow similar as test model specified in TS38.104. Whether to specify the in-channel emission requirement or in-channel leakage requirement is also ongoing. In other words, the receiver requirement cannot be addressed for DL sub-band configuration only.    </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UL sub-band:</w:t>
      </w:r>
      <w:r>
        <w:rPr>
          <w:rFonts w:hint="eastAsia"/>
          <w:lang w:val="en-US" w:eastAsia="zh-CN"/>
        </w:rPr>
        <w:t xml:space="preserve"> the main reasons to specify the UL sub-band explicitly is due to the BS receiver requirement. It</w:t>
      </w:r>
      <w:r>
        <w:rPr>
          <w:rFonts w:hint="default"/>
          <w:lang w:val="en-US" w:eastAsia="zh-CN"/>
        </w:rPr>
        <w:t>’</w:t>
      </w:r>
      <w:r>
        <w:rPr>
          <w:rFonts w:hint="eastAsia"/>
          <w:lang w:val="en-US" w:eastAsia="zh-CN"/>
        </w:rPr>
        <w:t xml:space="preserve">s well known that lots of BS receiver requirement (e.g. REFSENS FRC) is highly dependent on the UL PRB configurations, corresponding MCS and reference signal configuration. If UL sub-band is missing and leave it up to the manufacture declaration, then it is not possible to define the receiver RF requirement appropriately. The details could be found as following especially for FRC design for UL sub-band. </w:t>
      </w:r>
    </w:p>
    <w:p>
      <w:pPr>
        <w:keepNext w:val="0"/>
        <w:keepLines w:val="0"/>
        <w:widowControl/>
        <w:suppressLineNumbers w:val="0"/>
        <w:jc w:val="left"/>
        <w:rPr>
          <w:rFonts w:hint="eastAsia"/>
          <w:lang w:val="en-US" w:eastAsia="zh-CN"/>
        </w:rPr>
      </w:pPr>
      <w:r>
        <w:rPr>
          <w:rFonts w:hint="eastAsia"/>
          <w:lang w:val="en-US" w:eastAsia="zh-CN"/>
        </w:rPr>
        <w:t xml:space="preserve">During last RAN4 meeting, there were some discussions on alternative 1 or alternative 2 for FR1 WA SBFD DL configuration, from our understanding, alternative 1 is not reasonable since the DL-UL traffic pattern might be different from different operators perspective, if we have only one DL-UL pattern or DL-UL-DL pattern, then it would be very restrictive for the practical deployment. In other words, for FR1 WA BS, we prefer to have multiple DL-UL sub-band configuration instead of single one. </w:t>
      </w:r>
    </w:p>
    <w:p>
      <w:pPr>
        <w:keepNext w:val="0"/>
        <w:keepLines w:val="0"/>
        <w:widowControl/>
        <w:suppressLineNumbers w:val="0"/>
        <w:jc w:val="left"/>
        <w:rPr>
          <w:rFonts w:hint="default"/>
          <w:lang w:val="en-US" w:eastAsia="zh-CN"/>
        </w:rPr>
      </w:pPr>
      <w:r>
        <w:rPr>
          <w:rFonts w:hint="eastAsia"/>
          <w:b/>
          <w:bCs/>
          <w:lang w:val="en-US" w:eastAsia="zh-CN"/>
        </w:rPr>
        <w:t>Proposal 3:</w:t>
      </w:r>
      <w:r>
        <w:rPr>
          <w:rFonts w:hint="eastAsia"/>
          <w:lang w:val="en-US" w:eastAsia="zh-CN"/>
        </w:rPr>
        <w:t xml:space="preserve"> to support the multiple DL sub-band sizes for SBFD BS to accommodate the operators</w:t>
      </w:r>
      <w:r>
        <w:rPr>
          <w:rFonts w:hint="default"/>
          <w:lang w:val="en-US" w:eastAsia="zh-CN"/>
        </w:rPr>
        <w:t>’</w:t>
      </w:r>
      <w:r>
        <w:rPr>
          <w:rFonts w:hint="eastAsia"/>
          <w:lang w:val="en-US" w:eastAsia="zh-CN"/>
        </w:rPr>
        <w:t xml:space="preserve"> deployment request. </w:t>
      </w:r>
    </w:p>
    <w:p>
      <w:pPr>
        <w:pStyle w:val="36"/>
        <w:numPr>
          <w:ilvl w:val="2"/>
          <w:numId w:val="2"/>
        </w:numPr>
        <w:overflowPunct/>
        <w:autoSpaceDE/>
        <w:adjustRightInd/>
        <w:spacing w:after="0"/>
        <w:ind w:firstLineChars="0"/>
        <w:textAlignment w:val="auto"/>
        <w:rPr>
          <w:lang w:val="en-US"/>
        </w:rPr>
      </w:pPr>
      <w:r>
        <w:rPr>
          <w:lang w:val="en-US"/>
        </w:rPr>
        <w:t>Alt-2: For FR1 WA BS, the DL subband sizes declared to support SBFD shall be tested</w:t>
      </w:r>
    </w:p>
    <w:p>
      <w:pPr>
        <w:pStyle w:val="36"/>
        <w:numPr>
          <w:ilvl w:val="3"/>
          <w:numId w:val="2"/>
        </w:numPr>
        <w:overflowPunct/>
        <w:autoSpaceDE/>
        <w:adjustRightInd/>
        <w:spacing w:after="0"/>
        <w:ind w:firstLineChars="0"/>
        <w:textAlignment w:val="auto"/>
        <w:rPr>
          <w:rFonts w:hint="eastAsia"/>
          <w:lang w:val="en-US" w:eastAsia="zh-CN"/>
        </w:rPr>
      </w:pPr>
      <w:r>
        <w:rPr>
          <w:lang w:val="en-US"/>
        </w:rPr>
        <w:t xml:space="preserve">FFS the necessity of this restriction is applicable to other FR1 BS classes and FR2 BS. </w:t>
      </w:r>
    </w:p>
    <w:p>
      <w:pPr>
        <w:keepNext w:val="0"/>
        <w:keepLines w:val="0"/>
        <w:widowControl/>
        <w:suppressLineNumbers w:val="0"/>
        <w:jc w:val="left"/>
        <w:rPr>
          <w:rFonts w:hint="eastAsia"/>
          <w:lang w:val="en-US" w:eastAsia="zh-CN"/>
        </w:rPr>
      </w:pPr>
      <w:r>
        <w:rPr>
          <w:rFonts w:hint="eastAsia"/>
          <w:lang w:val="en-US" w:eastAsia="zh-CN"/>
        </w:rPr>
        <w:t>In addition,regarding the specific UL sub-band configuration for certain carrier bandwidth also need more discussions if option 2b is agreeable. For example, for 100MHz carrier bandwidth, whether all sub-band configuration e.g.20, 25, 30, 35, 40, 45,50, 60, 70,80,90MHz should be specified or only part of carrier bandwidth should be specified to simplify the specification.</w:t>
      </w:r>
    </w:p>
    <w:p>
      <w:pPr>
        <w:keepNext w:val="0"/>
        <w:keepLines w:val="0"/>
        <w:widowControl/>
        <w:suppressLineNumbers w:val="0"/>
        <w:jc w:val="left"/>
        <w:rPr>
          <w:rFonts w:hint="eastAsia"/>
          <w:lang w:val="en-US" w:eastAsia="zh-CN"/>
        </w:rPr>
      </w:pPr>
      <w:r>
        <w:rPr>
          <w:rFonts w:hint="eastAsia"/>
          <w:lang w:val="en-US" w:eastAsia="zh-CN"/>
        </w:rPr>
        <w:t xml:space="preserve">From our understanding, it might be better to have all sub-band configuration to be specified with both FRC and power levels defined, otherwise some of RAN4 specification might be not aligned with the practical deployment especially considering the analog filtering design which is tightly related with certain DL-UL sub-band configuration, therefore in order to have more complete specification and allow for the alignment between specification and the practical deployment, all sub-band configuration should be specified. </w:t>
      </w:r>
    </w:p>
    <w:p>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b/>
          <w:bCs/>
          <w:lang w:val="en-US" w:eastAsia="zh-CN"/>
        </w:rPr>
        <w:t>Proposal 4</w:t>
      </w:r>
      <w:r>
        <w:rPr>
          <w:rFonts w:hint="eastAsia"/>
          <w:lang w:val="en-US" w:eastAsia="zh-CN"/>
        </w:rPr>
        <w:t xml:space="preserve">:all UL sub-band configuration (e..g.reusing from the existing carrier bandwidth, 20~90MHz) should be specified for SBFD receiver requirements together with FRC and power levels. The detailed MCS, reference signal pattern for licensed band could align with WF </w:t>
      </w:r>
      <w:r>
        <w:rPr>
          <w:rStyle w:val="30"/>
          <w:rFonts w:hint="eastAsia" w:ascii="Times New Roman" w:hAnsi="Times New Roman" w:cs="Times New Roman"/>
          <w:color w:val="auto"/>
          <w:sz w:val="21"/>
          <w:szCs w:val="21"/>
          <w:shd w:val="clear" w:color="auto" w:fill="FFFFFF"/>
          <w:lang w:val="en-US" w:eastAsia="zh-CN"/>
        </w:rPr>
        <w:t>R4-1801031</w:t>
      </w:r>
      <w:r>
        <w:rPr>
          <w:rStyle w:val="30"/>
          <w:rFonts w:hint="eastAsia" w:cs="Times New Roman"/>
          <w:color w:val="auto"/>
          <w:sz w:val="21"/>
          <w:szCs w:val="21"/>
          <w:shd w:val="clear" w:color="auto" w:fill="FFFFFF"/>
          <w:lang w:val="en-US" w:eastAsia="zh-CN"/>
        </w:rPr>
        <w:t>.</w:t>
      </w:r>
      <w:r>
        <w:rPr>
          <w:rFonts w:hint="eastAsia"/>
          <w:lang w:val="en-US" w:eastAsia="zh-CN"/>
        </w:rPr>
        <w:t xml:space="preserve"> For unlicensed bands, the interleaved PRB pattern should be also configured.</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1-2-5: Restriction on guardband size for SBFD</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In the previous RAN4 meeting, there were some discussions on the guard band size for SBFD. From our understanding, there are two kinds of guard band concept as following at least:</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 Guard band at the carrier edge (e.g. in red color) which is supposed to the same as legacy GB design;</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 Guard band between DL sub-band and UL sub-band (e..g in orange color); </w:t>
      </w:r>
    </w:p>
    <w:p>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For the guard band between DL sub-band and UL sub-band, this is highly dependent on BS class, DL/UL sub-band configuration etc. For example, for FR1 wide area SBFD BS, due to the potential analog RF filtering between DL and UL sub-band, then guard band size would be expected to be larger, however for other BS class, the guard band might be quite limited e.g. limited to 1 PRB or even less than 1 PRBs. Whether to define maximum guard band size based on the worst assumption is also questionable since the analog RF filtering is still debatable so far for FR1 WA SBFD BS. In addition, guard band between different spectrum block is not something new in TS 38.104 specification. As extracted from the existing TS 38.104 specification, the guard band between different numerologies is up to the implementation dependent. This kind of design principle could be also reused for guard band between DL-UL sub-band configuration of SBFD BS.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34205" cy="1454150"/>
            <wp:effectExtent l="0" t="0" r="0" b="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10"/>
                    <a:stretch>
                      <a:fillRect/>
                    </a:stretch>
                  </pic:blipFill>
                  <pic:spPr>
                    <a:xfrm>
                      <a:off x="0" y="0"/>
                      <a:ext cx="4434205" cy="1454150"/>
                    </a:xfrm>
                    <a:prstGeom prst="rect">
                      <a:avLst/>
                    </a:prstGeom>
                    <a:noFill/>
                    <a:ln w="9525">
                      <a:noFill/>
                    </a:ln>
                  </pic:spPr>
                </pic:pic>
              </a:graphicData>
            </a:graphic>
          </wp:inline>
        </w:drawing>
      </w:r>
    </w:p>
    <w:p>
      <w:pPr>
        <w:jc w:val="center"/>
        <w:rPr>
          <w:rFonts w:hint="eastAsia"/>
          <w:lang w:val="en-US" w:eastAsia="zh-CN"/>
        </w:rPr>
      </w:pPr>
      <w:r>
        <w:rPr>
          <w:rFonts w:hint="eastAsia"/>
          <w:lang w:val="en-US" w:eastAsia="zh-CN"/>
        </w:rPr>
        <w:t>Figure 1.2.5-1. DL/UL sub-band configuration</w:t>
      </w:r>
    </w:p>
    <w:p>
      <w:pPr>
        <w:jc w:val="center"/>
        <w:rPr>
          <w:rFonts w:hint="eastAsia"/>
          <w:lang w:val="en-US" w:eastAsia="zh-CN"/>
        </w:rPr>
      </w:pPr>
    </w:p>
    <w:p>
      <w:pPr>
        <w:pStyle w:val="47"/>
        <w:rPr>
          <w:rFonts w:eastAsia="Yu Mincho"/>
        </w:rPr>
      </w:pPr>
      <w:r>
        <w:rPr>
          <w:rFonts w:eastAsia="Yu Mincho"/>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038600" cy="1797050"/>
                    </a:xfrm>
                    <a:prstGeom prst="rect">
                      <a:avLst/>
                    </a:prstGeom>
                    <a:noFill/>
                    <a:ln>
                      <a:noFill/>
                    </a:ln>
                  </pic:spPr>
                </pic:pic>
              </a:graphicData>
            </a:graphic>
          </wp:inline>
        </w:drawing>
      </w:r>
    </w:p>
    <w:p>
      <w:pPr>
        <w:pStyle w:val="47"/>
        <w:rPr>
          <w:rFonts w:eastAsia="Yu Mincho"/>
        </w:rPr>
      </w:pPr>
      <w:r>
        <w:rPr>
          <w:rFonts w:eastAsia="Yu Mincho"/>
        </w:rPr>
        <w:t>Figure 5.3.3-2: Guard band definition when transmitting multiple numerologies</w:t>
      </w:r>
    </w:p>
    <w:p>
      <w:pPr>
        <w:rPr>
          <w:rFonts w:eastAsia="Yu Mincho"/>
        </w:rPr>
      </w:pPr>
    </w:p>
    <w:p>
      <w:pPr>
        <w:pStyle w:val="43"/>
        <w:rPr>
          <w:rFonts w:hint="default"/>
          <w:lang w:val="en-US" w:eastAsia="zh-CN"/>
        </w:rPr>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p>
      <w:pPr>
        <w:jc w:val="both"/>
        <w:rPr>
          <w:sz w:val="20"/>
          <w:szCs w:val="10"/>
          <w:lang w:val="en-US"/>
        </w:rPr>
      </w:pPr>
      <w:r>
        <w:rPr>
          <w:rFonts w:hint="eastAsia"/>
          <w:b/>
          <w:bCs/>
          <w:lang w:val="en-US" w:eastAsia="zh-CN"/>
        </w:rPr>
        <w:t>Proposal 5</w:t>
      </w:r>
      <w:r>
        <w:rPr>
          <w:rFonts w:hint="eastAsia"/>
          <w:lang w:val="en-US" w:eastAsia="zh-CN"/>
        </w:rPr>
        <w:t xml:space="preserve">: propose to guard band between DL and UL sub-band is up to the declaration from the implementation perspective. </w:t>
      </w:r>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2-1-3: Location of transient period between SBFD and non-SBFD</w:t>
      </w:r>
    </w:p>
    <w:p>
      <w:pPr>
        <w:jc w:val="both"/>
        <w:rPr>
          <w:rFonts w:hint="default"/>
          <w:lang w:val="en-US" w:eastAsia="zh-CN"/>
        </w:rPr>
      </w:pPr>
      <w:r>
        <w:rPr>
          <w:rFonts w:hint="eastAsia"/>
          <w:lang w:val="en-US" w:eastAsia="zh-CN"/>
        </w:rPr>
        <w:t xml:space="preserve">Based on the discussions in the previous meetings, the location of transient period between SFBD and non-SBFD symbols is not determined yet and the necessity of this requirement is also debatable so far. At least from our understanding, the transition period should be located within SBFD symbols instead of non-SBFD symbols to avoid the negative impacts on the legacy UE reception. It is well known that, during the BS Tx OFF-ON or ON-OFF, the transmitter signal quality within the transition period cannot be guaranteed properly. Usually from UE receiver demodulation perspective, the corrupted soft information should be dropped before feeding into the LPDC/Polar decoder. For the SBFD aware UE, UE could know the location of the transition period by the TDD DL-UL configuration and additional SBFD configuration in RRC inf, then the corrupted soft information could be dropped within the estimated window length and baseband performance could be ensured somehow. If the transition period is located within the non-SBFD symbols or across the non-SBFD symbols and SBFD symbols, then the performance degradation for non-SBFD symbols will be expected. In short, we propose to have the transition period between non-SFBD symbols and SBFD symbols located within SBFD symbols.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784340" cy="1195070"/>
            <wp:effectExtent l="0" t="0" r="0" b="381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2"/>
                    <a:stretch>
                      <a:fillRect/>
                    </a:stretch>
                  </pic:blipFill>
                  <pic:spPr>
                    <a:xfrm>
                      <a:off x="0" y="0"/>
                      <a:ext cx="6784340" cy="119507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2.1.3-1. the location of transition period between SBFD and non-SBFD symbols</w:t>
      </w:r>
    </w:p>
    <w:p>
      <w:pPr>
        <w:jc w:val="both"/>
        <w:rPr>
          <w:rFonts w:hint="default"/>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general aspects for SBFD BS and </w:t>
      </w:r>
      <w:r>
        <w:rPr>
          <w:rFonts w:hint="eastAsia" w:cs="Times New Roman"/>
          <w:sz w:val="20"/>
          <w:szCs w:val="20"/>
          <w:lang w:val="en-US" w:eastAsia="zh-CN"/>
        </w:rPr>
        <w:t>proposals/observations are made as following:</w:t>
      </w:r>
    </w:p>
    <w:p>
      <w:pPr>
        <w:keepNext w:val="0"/>
        <w:keepLines w:val="0"/>
        <w:pageBreakBefore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1</w:t>
      </w:r>
      <w:r>
        <w:rPr>
          <w:rFonts w:hint="eastAsia"/>
          <w:lang w:val="en-US" w:eastAsia="zh-CN"/>
        </w:rPr>
        <w:t xml:space="preserve">: propose to clearly clarify whether NR-U bands in FR1 should be supported or not. </w:t>
      </w:r>
    </w:p>
    <w:p>
      <w:pPr>
        <w:keepNext w:val="0"/>
        <w:keepLines w:val="0"/>
        <w:pageBreakBefore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2</w:t>
      </w:r>
      <w:r>
        <w:rPr>
          <w:rFonts w:hint="eastAsia"/>
          <w:lang w:val="en-US" w:eastAsia="zh-CN"/>
        </w:rPr>
        <w:t xml:space="preserve">: SCS for DL and UL sub-band should be the same.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3:</w:t>
      </w:r>
      <w:r>
        <w:rPr>
          <w:rFonts w:hint="eastAsia"/>
          <w:lang w:val="en-US" w:eastAsia="zh-CN"/>
        </w:rPr>
        <w:t xml:space="preserve"> to support the multiple DL sub-band sizes for SBFD BS to accommodate the operators</w:t>
      </w:r>
      <w:r>
        <w:rPr>
          <w:rFonts w:hint="default"/>
          <w:lang w:val="en-US" w:eastAsia="zh-CN"/>
        </w:rPr>
        <w:t>’</w:t>
      </w:r>
      <w:r>
        <w:rPr>
          <w:rFonts w:hint="eastAsia"/>
          <w:lang w:val="en-US" w:eastAsia="zh-CN"/>
        </w:rPr>
        <w:t xml:space="preserve"> deployment request. </w:t>
      </w:r>
    </w:p>
    <w:p>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b/>
          <w:bCs/>
          <w:lang w:val="en-US" w:eastAsia="zh-CN"/>
        </w:rPr>
        <w:t>Proposal 4</w:t>
      </w:r>
      <w:r>
        <w:rPr>
          <w:rFonts w:hint="eastAsia"/>
          <w:lang w:val="en-US" w:eastAsia="zh-CN"/>
        </w:rPr>
        <w:t xml:space="preserve">:all UL sub-band configuration (e..g.reusing from the existing carrier bandwidth, 20~90MHz) should be specified for SBFD receiver requirements together with FRC and power levels. The detailed MCS, reference signal pattern for licensed band could align with WF </w:t>
      </w:r>
      <w:r>
        <w:rPr>
          <w:rStyle w:val="30"/>
          <w:rFonts w:hint="eastAsia" w:ascii="Times New Roman" w:hAnsi="Times New Roman" w:cs="Times New Roman"/>
          <w:color w:val="auto"/>
          <w:sz w:val="21"/>
          <w:szCs w:val="21"/>
          <w:shd w:val="clear" w:color="auto" w:fill="FFFFFF"/>
          <w:lang w:val="en-US" w:eastAsia="zh-CN"/>
        </w:rPr>
        <w:t>R4-1801031</w:t>
      </w:r>
      <w:r>
        <w:rPr>
          <w:rStyle w:val="30"/>
          <w:rFonts w:hint="eastAsia" w:cs="Times New Roman"/>
          <w:color w:val="auto"/>
          <w:sz w:val="21"/>
          <w:szCs w:val="21"/>
          <w:shd w:val="clear" w:color="auto" w:fill="FFFFFF"/>
          <w:lang w:val="en-US" w:eastAsia="zh-CN"/>
        </w:rPr>
        <w:t>.</w:t>
      </w:r>
      <w:r>
        <w:rPr>
          <w:rFonts w:hint="eastAsia"/>
          <w:lang w:val="en-US" w:eastAsia="zh-CN"/>
        </w:rPr>
        <w:t xml:space="preserve"> For unlicensed bands, the interleaved PRB pattern should be also configured.</w:t>
      </w:r>
    </w:p>
    <w:p>
      <w:pPr>
        <w:jc w:val="both"/>
        <w:rPr>
          <w:sz w:val="20"/>
          <w:szCs w:val="10"/>
          <w:lang w:val="en-US"/>
        </w:rPr>
      </w:pPr>
      <w:r>
        <w:rPr>
          <w:rFonts w:hint="eastAsia"/>
          <w:b/>
          <w:bCs/>
          <w:lang w:val="en-US" w:eastAsia="zh-CN"/>
        </w:rPr>
        <w:t>Proposal 5</w:t>
      </w:r>
      <w:r>
        <w:rPr>
          <w:rFonts w:hint="eastAsia"/>
          <w:lang w:val="en-US" w:eastAsia="zh-CN"/>
        </w:rPr>
        <w:t xml:space="preserve">: propose to guard band between DL and UL sub-band is up to the declaration from the implementation perspective. </w:t>
      </w:r>
    </w:p>
    <w:p>
      <w:pPr>
        <w:jc w:val="both"/>
        <w:rPr>
          <w:rFonts w:hint="eastAsia" w:cs="Times New Roman"/>
          <w:sz w:val="20"/>
          <w:szCs w:val="20"/>
          <w:lang w:val="en-US" w:eastAsia="zh-CN"/>
        </w:rPr>
      </w:pPr>
      <w:r>
        <w:rPr>
          <w:rFonts w:hint="eastAsia"/>
          <w:b/>
          <w:bCs/>
          <w:lang w:val="en-US" w:eastAsia="zh-CN"/>
        </w:rPr>
        <w:t>Proposal 6</w:t>
      </w:r>
      <w:r>
        <w:rPr>
          <w:rFonts w:hint="eastAsia"/>
          <w:lang w:val="en-US" w:eastAsia="zh-CN"/>
        </w:rPr>
        <w:t xml:space="preserve">: propose to have the transition period between non-SFBD symbols and SBFD symbols located within SBFD symbols. </w:t>
      </w:r>
    </w:p>
    <w:p>
      <w:pPr>
        <w:pStyle w:val="57"/>
        <w:tabs>
          <w:tab w:val="left" w:pos="567"/>
          <w:tab w:val="clear" w:pos="1985"/>
        </w:tabs>
        <w:adjustRightInd w:val="0"/>
        <w:ind w:left="510" w:hanging="510"/>
      </w:pPr>
      <w:r>
        <w:t>References</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R4-2409958, Way forward for [110bis][313] NR_duplex_evo, Approved</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 Approved.</w:t>
      </w:r>
    </w:p>
    <w:p>
      <w:pPr>
        <w:pStyle w:val="21"/>
        <w:numPr>
          <w:ilvl w:val="0"/>
          <w:numId w:val="5"/>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R4-2413514</w:t>
      </w:r>
      <w:r>
        <w:rPr>
          <w:rStyle w:val="30"/>
          <w:rFonts w:hint="eastAsia" w:ascii="Times New Roman" w:hAnsi="Times New Roman" w:cs="Times New Roman"/>
          <w:color w:val="auto"/>
          <w:sz w:val="21"/>
          <w:szCs w:val="21"/>
          <w:shd w:val="clear" w:color="auto" w:fill="FFFFFF"/>
          <w:lang w:val="en-US" w:eastAsia="zh-CN"/>
        </w:rPr>
        <w:tab/>
      </w:r>
      <w:r>
        <w:rPr>
          <w:rStyle w:val="30"/>
          <w:rFonts w:hint="eastAsia" w:ascii="Times New Roman" w:hAnsi="Times New Roman" w:cs="Times New Roman"/>
          <w:color w:val="auto"/>
          <w:sz w:val="21"/>
          <w:szCs w:val="21"/>
          <w:shd w:val="clear" w:color="auto" w:fill="FFFFFF"/>
          <w:lang w:val="en-US" w:eastAsia="zh-CN"/>
        </w:rPr>
        <w:t>Way Forward for [112][307] NR_duplex_evo_General</w:t>
      </w:r>
    </w:p>
    <w:p>
      <w:pPr>
        <w:pStyle w:val="21"/>
        <w:numPr>
          <w:ilvl w:val="0"/>
          <w:numId w:val="5"/>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R4-1801031, WF on NR BS RF FRCs, approved.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rPr>
          <w:rStyle w:val="30"/>
          <w:rFonts w:ascii="Times New Roman" w:hAnsi="Times New Roman" w:cs="Times New Roman"/>
          <w:color w:val="auto"/>
          <w:sz w:val="21"/>
          <w:szCs w:val="21"/>
          <w:shd w:val="clear" w:color="auto" w:fill="FFFFFF"/>
        </w:rPr>
      </w:pPr>
      <w:r>
        <w:rPr>
          <w:rStyle w:val="30"/>
          <w:rFonts w:ascii="Times New Roman" w:hAnsi="Times New Roman" w:cs="Times New Roman"/>
          <w:color w:val="auto"/>
          <w:sz w:val="21"/>
          <w:szCs w:val="21"/>
          <w:shd w:val="clear" w:color="auto" w:fill="FFFFFF"/>
        </w:rPr>
        <w:br w:type="page"/>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28723"/>
    <w:multiLevelType w:val="singleLevel"/>
    <w:tmpl w:val="F9A28723"/>
    <w:lvl w:ilvl="0" w:tentative="0">
      <w:start w:val="1"/>
      <w:numFmt w:val="decimal"/>
      <w:suff w:val="space"/>
      <w:lvlText w:val="%1)"/>
      <w:lvlJc w:val="left"/>
    </w:lvl>
  </w:abstractNum>
  <w:abstractNum w:abstractNumId="1">
    <w:nsid w:val="1D722378"/>
    <w:multiLevelType w:val="singleLevel"/>
    <w:tmpl w:val="1D722378"/>
    <w:lvl w:ilvl="0" w:tentative="0">
      <w:start w:val="1"/>
      <w:numFmt w:val="decimal"/>
      <w:suff w:val="space"/>
      <w:lvlText w:val="%1)"/>
      <w:lvlJc w:val="left"/>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3BF"/>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8F"/>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9FC"/>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52D"/>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761"/>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05BA0"/>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6B33B4"/>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611"/>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A343A"/>
    <w:rsid w:val="026D13E1"/>
    <w:rsid w:val="027035EC"/>
    <w:rsid w:val="027B4322"/>
    <w:rsid w:val="02803683"/>
    <w:rsid w:val="028748E0"/>
    <w:rsid w:val="02892A7A"/>
    <w:rsid w:val="028A28CC"/>
    <w:rsid w:val="02927A98"/>
    <w:rsid w:val="029342BD"/>
    <w:rsid w:val="029D3139"/>
    <w:rsid w:val="02A05595"/>
    <w:rsid w:val="02A12134"/>
    <w:rsid w:val="02A45D67"/>
    <w:rsid w:val="02AA2805"/>
    <w:rsid w:val="02AF6836"/>
    <w:rsid w:val="02B06DC0"/>
    <w:rsid w:val="02B31189"/>
    <w:rsid w:val="02B85839"/>
    <w:rsid w:val="02BD1A75"/>
    <w:rsid w:val="02C50B9B"/>
    <w:rsid w:val="02C6057C"/>
    <w:rsid w:val="02C81CBF"/>
    <w:rsid w:val="02C86D51"/>
    <w:rsid w:val="02CE3DD2"/>
    <w:rsid w:val="02CF000C"/>
    <w:rsid w:val="02D204DD"/>
    <w:rsid w:val="02D36626"/>
    <w:rsid w:val="02D36D20"/>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4240A"/>
    <w:rsid w:val="03651217"/>
    <w:rsid w:val="03651EEB"/>
    <w:rsid w:val="03687ADD"/>
    <w:rsid w:val="03696DA6"/>
    <w:rsid w:val="036A231E"/>
    <w:rsid w:val="03774924"/>
    <w:rsid w:val="03822F79"/>
    <w:rsid w:val="03880F63"/>
    <w:rsid w:val="038B3715"/>
    <w:rsid w:val="038F1E4C"/>
    <w:rsid w:val="03936C6A"/>
    <w:rsid w:val="039568DC"/>
    <w:rsid w:val="0395764C"/>
    <w:rsid w:val="039B69FD"/>
    <w:rsid w:val="03A32E58"/>
    <w:rsid w:val="03AC2829"/>
    <w:rsid w:val="03AE4B4A"/>
    <w:rsid w:val="03B20D4E"/>
    <w:rsid w:val="03B728E0"/>
    <w:rsid w:val="03BD732A"/>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831C3"/>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76AB"/>
    <w:rsid w:val="05010225"/>
    <w:rsid w:val="051034CD"/>
    <w:rsid w:val="0512539C"/>
    <w:rsid w:val="051F43BC"/>
    <w:rsid w:val="0524197F"/>
    <w:rsid w:val="052432F7"/>
    <w:rsid w:val="05280A89"/>
    <w:rsid w:val="052D14A7"/>
    <w:rsid w:val="05367F8C"/>
    <w:rsid w:val="053C34DE"/>
    <w:rsid w:val="053E1AC2"/>
    <w:rsid w:val="053E6829"/>
    <w:rsid w:val="05403ABE"/>
    <w:rsid w:val="0545651B"/>
    <w:rsid w:val="05484FD2"/>
    <w:rsid w:val="05504722"/>
    <w:rsid w:val="05564384"/>
    <w:rsid w:val="05583DC1"/>
    <w:rsid w:val="055A77BF"/>
    <w:rsid w:val="055C5DB2"/>
    <w:rsid w:val="055C75CE"/>
    <w:rsid w:val="05631D30"/>
    <w:rsid w:val="05687505"/>
    <w:rsid w:val="05734531"/>
    <w:rsid w:val="05770CD5"/>
    <w:rsid w:val="05784E56"/>
    <w:rsid w:val="057C7AAB"/>
    <w:rsid w:val="057F0408"/>
    <w:rsid w:val="05804262"/>
    <w:rsid w:val="05816D10"/>
    <w:rsid w:val="058E6ED4"/>
    <w:rsid w:val="05930F73"/>
    <w:rsid w:val="05940F3F"/>
    <w:rsid w:val="059454B6"/>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07FED"/>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2F67AA"/>
    <w:rsid w:val="06382A58"/>
    <w:rsid w:val="063F20A9"/>
    <w:rsid w:val="064001EE"/>
    <w:rsid w:val="06474EFD"/>
    <w:rsid w:val="064767A0"/>
    <w:rsid w:val="06485369"/>
    <w:rsid w:val="06487227"/>
    <w:rsid w:val="06493A8C"/>
    <w:rsid w:val="064A35EA"/>
    <w:rsid w:val="064B521E"/>
    <w:rsid w:val="064C2727"/>
    <w:rsid w:val="0656369A"/>
    <w:rsid w:val="065740AF"/>
    <w:rsid w:val="065A56A2"/>
    <w:rsid w:val="0665756F"/>
    <w:rsid w:val="066F6122"/>
    <w:rsid w:val="06735C62"/>
    <w:rsid w:val="067570AB"/>
    <w:rsid w:val="06776246"/>
    <w:rsid w:val="06776362"/>
    <w:rsid w:val="067B39B4"/>
    <w:rsid w:val="067C0E0B"/>
    <w:rsid w:val="067D28AB"/>
    <w:rsid w:val="067D2A36"/>
    <w:rsid w:val="06805AC5"/>
    <w:rsid w:val="06836FEC"/>
    <w:rsid w:val="068523FB"/>
    <w:rsid w:val="06852909"/>
    <w:rsid w:val="068A178F"/>
    <w:rsid w:val="068C6317"/>
    <w:rsid w:val="0694521F"/>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90029"/>
    <w:rsid w:val="06EF6236"/>
    <w:rsid w:val="06F30672"/>
    <w:rsid w:val="06F35A7A"/>
    <w:rsid w:val="06F35AB6"/>
    <w:rsid w:val="06F66B05"/>
    <w:rsid w:val="06FC35DD"/>
    <w:rsid w:val="0702074E"/>
    <w:rsid w:val="0708086F"/>
    <w:rsid w:val="071A77D5"/>
    <w:rsid w:val="071D08AB"/>
    <w:rsid w:val="07220D76"/>
    <w:rsid w:val="07233462"/>
    <w:rsid w:val="072717DA"/>
    <w:rsid w:val="072746E6"/>
    <w:rsid w:val="07277193"/>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0025B"/>
    <w:rsid w:val="07614573"/>
    <w:rsid w:val="07660D5A"/>
    <w:rsid w:val="07665169"/>
    <w:rsid w:val="076C4DBE"/>
    <w:rsid w:val="076E2769"/>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BF7B2E"/>
    <w:rsid w:val="07C049C1"/>
    <w:rsid w:val="07C126DC"/>
    <w:rsid w:val="07CA4016"/>
    <w:rsid w:val="07CB090E"/>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0F712A"/>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32D58"/>
    <w:rsid w:val="088D794D"/>
    <w:rsid w:val="08942BDF"/>
    <w:rsid w:val="089852F1"/>
    <w:rsid w:val="08990610"/>
    <w:rsid w:val="089B5449"/>
    <w:rsid w:val="089D6B7D"/>
    <w:rsid w:val="08A03B5E"/>
    <w:rsid w:val="08A275F2"/>
    <w:rsid w:val="08B21918"/>
    <w:rsid w:val="08B40442"/>
    <w:rsid w:val="08B94847"/>
    <w:rsid w:val="08BC0F6E"/>
    <w:rsid w:val="08C14001"/>
    <w:rsid w:val="08C41EDB"/>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B63A6"/>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EF4328"/>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3E680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7487E"/>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8A04EF"/>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37D57"/>
    <w:rsid w:val="0BEC55E4"/>
    <w:rsid w:val="0BEF4F94"/>
    <w:rsid w:val="0BF427F9"/>
    <w:rsid w:val="0BF614B9"/>
    <w:rsid w:val="0C0B2ABC"/>
    <w:rsid w:val="0C0C632D"/>
    <w:rsid w:val="0C120111"/>
    <w:rsid w:val="0C12447E"/>
    <w:rsid w:val="0C195EAF"/>
    <w:rsid w:val="0C1D0A79"/>
    <w:rsid w:val="0C211D1A"/>
    <w:rsid w:val="0C2A7D29"/>
    <w:rsid w:val="0C2B15D0"/>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73CA6"/>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51E9D"/>
    <w:rsid w:val="0D0612B8"/>
    <w:rsid w:val="0D066A9C"/>
    <w:rsid w:val="0D0714BC"/>
    <w:rsid w:val="0D076826"/>
    <w:rsid w:val="0D0A1D55"/>
    <w:rsid w:val="0D0C08C0"/>
    <w:rsid w:val="0D0F2DCE"/>
    <w:rsid w:val="0D136EF9"/>
    <w:rsid w:val="0D1A52C8"/>
    <w:rsid w:val="0D1C1D16"/>
    <w:rsid w:val="0D21615D"/>
    <w:rsid w:val="0D2454BF"/>
    <w:rsid w:val="0D2767B5"/>
    <w:rsid w:val="0D287B86"/>
    <w:rsid w:val="0D39789E"/>
    <w:rsid w:val="0D3E327E"/>
    <w:rsid w:val="0D3E50C9"/>
    <w:rsid w:val="0D432A3E"/>
    <w:rsid w:val="0D480AA9"/>
    <w:rsid w:val="0D4D56D6"/>
    <w:rsid w:val="0D4D637D"/>
    <w:rsid w:val="0D5800C7"/>
    <w:rsid w:val="0D5B6E86"/>
    <w:rsid w:val="0D604B9B"/>
    <w:rsid w:val="0D63712E"/>
    <w:rsid w:val="0D647BCA"/>
    <w:rsid w:val="0D671DC3"/>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94479"/>
    <w:rsid w:val="0DEE77C3"/>
    <w:rsid w:val="0DF0225F"/>
    <w:rsid w:val="0DF367C2"/>
    <w:rsid w:val="0DFC48AF"/>
    <w:rsid w:val="0DFF2594"/>
    <w:rsid w:val="0E0313B1"/>
    <w:rsid w:val="0E043FF3"/>
    <w:rsid w:val="0E062A96"/>
    <w:rsid w:val="0E0D1A47"/>
    <w:rsid w:val="0E1619F9"/>
    <w:rsid w:val="0E176FCD"/>
    <w:rsid w:val="0E193FCB"/>
    <w:rsid w:val="0E1A4909"/>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7050D"/>
    <w:rsid w:val="0E894FFB"/>
    <w:rsid w:val="0E9A17E3"/>
    <w:rsid w:val="0E9E1854"/>
    <w:rsid w:val="0E9E654C"/>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76C34"/>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840D0"/>
    <w:rsid w:val="0F6A1108"/>
    <w:rsid w:val="0F6A21ED"/>
    <w:rsid w:val="0F704CEF"/>
    <w:rsid w:val="0F7514AB"/>
    <w:rsid w:val="0F7C4621"/>
    <w:rsid w:val="0F7D786D"/>
    <w:rsid w:val="0F7E4DAF"/>
    <w:rsid w:val="0F7E6AED"/>
    <w:rsid w:val="0F80243B"/>
    <w:rsid w:val="0F842AF1"/>
    <w:rsid w:val="0F885F4B"/>
    <w:rsid w:val="0F8E6521"/>
    <w:rsid w:val="0F8F27CB"/>
    <w:rsid w:val="0F9767D8"/>
    <w:rsid w:val="0F9A3D44"/>
    <w:rsid w:val="0FA11695"/>
    <w:rsid w:val="0FA26E81"/>
    <w:rsid w:val="0FA615E1"/>
    <w:rsid w:val="0FAD0019"/>
    <w:rsid w:val="0FAD3299"/>
    <w:rsid w:val="0FAD3F5A"/>
    <w:rsid w:val="0FB261C9"/>
    <w:rsid w:val="0FB31343"/>
    <w:rsid w:val="0FB714C3"/>
    <w:rsid w:val="0FC12836"/>
    <w:rsid w:val="0FC427AC"/>
    <w:rsid w:val="0FD15480"/>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D7F1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31E1"/>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AD0878"/>
    <w:rsid w:val="10B4235C"/>
    <w:rsid w:val="10B52C7E"/>
    <w:rsid w:val="10B7486E"/>
    <w:rsid w:val="10BD429D"/>
    <w:rsid w:val="10BD50ED"/>
    <w:rsid w:val="10C40346"/>
    <w:rsid w:val="10C85160"/>
    <w:rsid w:val="10CC5735"/>
    <w:rsid w:val="10D679E0"/>
    <w:rsid w:val="10DF786B"/>
    <w:rsid w:val="10EC75B1"/>
    <w:rsid w:val="10F33CC1"/>
    <w:rsid w:val="10FA45D2"/>
    <w:rsid w:val="10FD6E37"/>
    <w:rsid w:val="11024527"/>
    <w:rsid w:val="11051FFA"/>
    <w:rsid w:val="11060008"/>
    <w:rsid w:val="110A4489"/>
    <w:rsid w:val="11150F62"/>
    <w:rsid w:val="1116369A"/>
    <w:rsid w:val="111A28E5"/>
    <w:rsid w:val="111D46E5"/>
    <w:rsid w:val="111E5679"/>
    <w:rsid w:val="11280A27"/>
    <w:rsid w:val="112A64AC"/>
    <w:rsid w:val="112E598D"/>
    <w:rsid w:val="112F54D2"/>
    <w:rsid w:val="1133321C"/>
    <w:rsid w:val="113B291C"/>
    <w:rsid w:val="11457D8C"/>
    <w:rsid w:val="11461F96"/>
    <w:rsid w:val="114C3CA8"/>
    <w:rsid w:val="114D3A1D"/>
    <w:rsid w:val="11562BF2"/>
    <w:rsid w:val="11576536"/>
    <w:rsid w:val="115F7B83"/>
    <w:rsid w:val="11607F73"/>
    <w:rsid w:val="11613A1B"/>
    <w:rsid w:val="116A3BB2"/>
    <w:rsid w:val="116F3C27"/>
    <w:rsid w:val="11703DE0"/>
    <w:rsid w:val="117338ED"/>
    <w:rsid w:val="117561EB"/>
    <w:rsid w:val="11781FEE"/>
    <w:rsid w:val="117824F0"/>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A3663"/>
    <w:rsid w:val="11BE25B0"/>
    <w:rsid w:val="11CA3974"/>
    <w:rsid w:val="11D96062"/>
    <w:rsid w:val="11E4369D"/>
    <w:rsid w:val="11E53250"/>
    <w:rsid w:val="11EA6B41"/>
    <w:rsid w:val="11EE4F27"/>
    <w:rsid w:val="11F0307F"/>
    <w:rsid w:val="11F267E8"/>
    <w:rsid w:val="11F427FC"/>
    <w:rsid w:val="11FA07E8"/>
    <w:rsid w:val="11FA2D7A"/>
    <w:rsid w:val="12066C25"/>
    <w:rsid w:val="120D032A"/>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472E2"/>
    <w:rsid w:val="12653D4F"/>
    <w:rsid w:val="1265625F"/>
    <w:rsid w:val="127222F3"/>
    <w:rsid w:val="12727CAE"/>
    <w:rsid w:val="127D422E"/>
    <w:rsid w:val="12845278"/>
    <w:rsid w:val="12852F30"/>
    <w:rsid w:val="12863AEA"/>
    <w:rsid w:val="128B7C40"/>
    <w:rsid w:val="128C036A"/>
    <w:rsid w:val="128E70AD"/>
    <w:rsid w:val="129535C1"/>
    <w:rsid w:val="129D41B7"/>
    <w:rsid w:val="129E4829"/>
    <w:rsid w:val="12A45BB3"/>
    <w:rsid w:val="12A9130F"/>
    <w:rsid w:val="12AB0CA2"/>
    <w:rsid w:val="12AC51B9"/>
    <w:rsid w:val="12B1068C"/>
    <w:rsid w:val="12B371AD"/>
    <w:rsid w:val="12B43B19"/>
    <w:rsid w:val="12B5075C"/>
    <w:rsid w:val="12BC3C60"/>
    <w:rsid w:val="12C15F00"/>
    <w:rsid w:val="12C2679E"/>
    <w:rsid w:val="12C667C3"/>
    <w:rsid w:val="12C77089"/>
    <w:rsid w:val="12CA3C33"/>
    <w:rsid w:val="12CB4026"/>
    <w:rsid w:val="12D16C9D"/>
    <w:rsid w:val="12D20ECB"/>
    <w:rsid w:val="12D93C20"/>
    <w:rsid w:val="12DD694C"/>
    <w:rsid w:val="12DF0C5E"/>
    <w:rsid w:val="12E302DA"/>
    <w:rsid w:val="12EC215C"/>
    <w:rsid w:val="12EC296B"/>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6290"/>
    <w:rsid w:val="136374E8"/>
    <w:rsid w:val="13642B45"/>
    <w:rsid w:val="13695B29"/>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7ED8"/>
    <w:rsid w:val="13B35E26"/>
    <w:rsid w:val="13B42C01"/>
    <w:rsid w:val="13B445AD"/>
    <w:rsid w:val="13B45BB1"/>
    <w:rsid w:val="13B66BD2"/>
    <w:rsid w:val="13BF66BA"/>
    <w:rsid w:val="13C152E0"/>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32A4D"/>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1D21"/>
    <w:rsid w:val="147538F3"/>
    <w:rsid w:val="147544B0"/>
    <w:rsid w:val="14794C74"/>
    <w:rsid w:val="14812D74"/>
    <w:rsid w:val="14836C15"/>
    <w:rsid w:val="14862300"/>
    <w:rsid w:val="148B50C9"/>
    <w:rsid w:val="148C00A0"/>
    <w:rsid w:val="148D3653"/>
    <w:rsid w:val="149220F8"/>
    <w:rsid w:val="149363B8"/>
    <w:rsid w:val="149E0A7B"/>
    <w:rsid w:val="14A75504"/>
    <w:rsid w:val="14A82A63"/>
    <w:rsid w:val="14A86EA4"/>
    <w:rsid w:val="14AC358C"/>
    <w:rsid w:val="14AD2764"/>
    <w:rsid w:val="14B227CC"/>
    <w:rsid w:val="14B76730"/>
    <w:rsid w:val="14C42DC7"/>
    <w:rsid w:val="14C767C8"/>
    <w:rsid w:val="14C80FD5"/>
    <w:rsid w:val="14D326F5"/>
    <w:rsid w:val="14D57649"/>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20542"/>
    <w:rsid w:val="15156C3A"/>
    <w:rsid w:val="15157DF4"/>
    <w:rsid w:val="151B0462"/>
    <w:rsid w:val="151C45D8"/>
    <w:rsid w:val="151C793F"/>
    <w:rsid w:val="15241022"/>
    <w:rsid w:val="15290336"/>
    <w:rsid w:val="15297BD7"/>
    <w:rsid w:val="152E6293"/>
    <w:rsid w:val="15325A1E"/>
    <w:rsid w:val="153B59AE"/>
    <w:rsid w:val="1542012A"/>
    <w:rsid w:val="15422ACA"/>
    <w:rsid w:val="154D4A84"/>
    <w:rsid w:val="155424D6"/>
    <w:rsid w:val="155605E9"/>
    <w:rsid w:val="155B1745"/>
    <w:rsid w:val="155B18FD"/>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E51"/>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74701"/>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B00CB"/>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0E7A70"/>
    <w:rsid w:val="171053FC"/>
    <w:rsid w:val="17137BE1"/>
    <w:rsid w:val="1715378E"/>
    <w:rsid w:val="17172D0A"/>
    <w:rsid w:val="17173F3A"/>
    <w:rsid w:val="171E7FAF"/>
    <w:rsid w:val="17220210"/>
    <w:rsid w:val="17235F88"/>
    <w:rsid w:val="17256955"/>
    <w:rsid w:val="17260A88"/>
    <w:rsid w:val="172B6CEB"/>
    <w:rsid w:val="172E31B3"/>
    <w:rsid w:val="17335E24"/>
    <w:rsid w:val="17336D84"/>
    <w:rsid w:val="17343071"/>
    <w:rsid w:val="17350245"/>
    <w:rsid w:val="17382580"/>
    <w:rsid w:val="17425826"/>
    <w:rsid w:val="174A2BD1"/>
    <w:rsid w:val="174D3983"/>
    <w:rsid w:val="17565E74"/>
    <w:rsid w:val="17595246"/>
    <w:rsid w:val="175E4288"/>
    <w:rsid w:val="175F6489"/>
    <w:rsid w:val="17650A34"/>
    <w:rsid w:val="17652ACF"/>
    <w:rsid w:val="176C704A"/>
    <w:rsid w:val="176E2C4A"/>
    <w:rsid w:val="177653C5"/>
    <w:rsid w:val="17781A92"/>
    <w:rsid w:val="1781705C"/>
    <w:rsid w:val="17844C56"/>
    <w:rsid w:val="179559A6"/>
    <w:rsid w:val="17957384"/>
    <w:rsid w:val="17976BD3"/>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3F4B2B"/>
    <w:rsid w:val="184068C1"/>
    <w:rsid w:val="18420253"/>
    <w:rsid w:val="1848540C"/>
    <w:rsid w:val="18524B4C"/>
    <w:rsid w:val="18533B98"/>
    <w:rsid w:val="18554231"/>
    <w:rsid w:val="185546D2"/>
    <w:rsid w:val="1857605A"/>
    <w:rsid w:val="18633981"/>
    <w:rsid w:val="18674D45"/>
    <w:rsid w:val="186B15D6"/>
    <w:rsid w:val="186C1DBE"/>
    <w:rsid w:val="186C5153"/>
    <w:rsid w:val="186E738D"/>
    <w:rsid w:val="186F36A8"/>
    <w:rsid w:val="187640ED"/>
    <w:rsid w:val="18804AA7"/>
    <w:rsid w:val="18850ACD"/>
    <w:rsid w:val="18881925"/>
    <w:rsid w:val="188C347D"/>
    <w:rsid w:val="188C4F53"/>
    <w:rsid w:val="18A16B9A"/>
    <w:rsid w:val="18A5427C"/>
    <w:rsid w:val="18A94FC3"/>
    <w:rsid w:val="18AB1905"/>
    <w:rsid w:val="18AC724D"/>
    <w:rsid w:val="18AF5199"/>
    <w:rsid w:val="18AF7C5B"/>
    <w:rsid w:val="18B417E1"/>
    <w:rsid w:val="18B61C67"/>
    <w:rsid w:val="18C0323C"/>
    <w:rsid w:val="18C53928"/>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25236"/>
    <w:rsid w:val="19244571"/>
    <w:rsid w:val="19254AA6"/>
    <w:rsid w:val="19267DCF"/>
    <w:rsid w:val="19287BE3"/>
    <w:rsid w:val="192A5704"/>
    <w:rsid w:val="192B2E6B"/>
    <w:rsid w:val="192B7CD9"/>
    <w:rsid w:val="192C1E11"/>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C2E6B"/>
    <w:rsid w:val="1983628E"/>
    <w:rsid w:val="198374F4"/>
    <w:rsid w:val="1989194D"/>
    <w:rsid w:val="19894C83"/>
    <w:rsid w:val="198C5D06"/>
    <w:rsid w:val="1999328D"/>
    <w:rsid w:val="19A7296F"/>
    <w:rsid w:val="19A83029"/>
    <w:rsid w:val="19AF232D"/>
    <w:rsid w:val="19B94DE5"/>
    <w:rsid w:val="19BB7983"/>
    <w:rsid w:val="19CA4702"/>
    <w:rsid w:val="19D01D27"/>
    <w:rsid w:val="19D73048"/>
    <w:rsid w:val="19D76F77"/>
    <w:rsid w:val="19DC3901"/>
    <w:rsid w:val="19DE7440"/>
    <w:rsid w:val="19E45BB3"/>
    <w:rsid w:val="19EA5232"/>
    <w:rsid w:val="19ED386F"/>
    <w:rsid w:val="19F90091"/>
    <w:rsid w:val="19F91F18"/>
    <w:rsid w:val="19FF1298"/>
    <w:rsid w:val="1A03072C"/>
    <w:rsid w:val="1A045B87"/>
    <w:rsid w:val="1A063C11"/>
    <w:rsid w:val="1A0F772D"/>
    <w:rsid w:val="1A1844C7"/>
    <w:rsid w:val="1A1F1382"/>
    <w:rsid w:val="1A2038E8"/>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949FA"/>
    <w:rsid w:val="1A6A0EEA"/>
    <w:rsid w:val="1A6B048F"/>
    <w:rsid w:val="1A6B64C2"/>
    <w:rsid w:val="1A6D22C8"/>
    <w:rsid w:val="1A6E6393"/>
    <w:rsid w:val="1A6F5AC3"/>
    <w:rsid w:val="1A725418"/>
    <w:rsid w:val="1A79771B"/>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065D"/>
    <w:rsid w:val="1ACE2A77"/>
    <w:rsid w:val="1ACE6E77"/>
    <w:rsid w:val="1ACF3714"/>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85A09"/>
    <w:rsid w:val="1B5D3106"/>
    <w:rsid w:val="1B68108C"/>
    <w:rsid w:val="1B716070"/>
    <w:rsid w:val="1B73181B"/>
    <w:rsid w:val="1B7906CE"/>
    <w:rsid w:val="1B7B0258"/>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96BAD"/>
    <w:rsid w:val="1CBA5B32"/>
    <w:rsid w:val="1CBE0F85"/>
    <w:rsid w:val="1CBE5026"/>
    <w:rsid w:val="1CC1651E"/>
    <w:rsid w:val="1CCD6D74"/>
    <w:rsid w:val="1CD363DF"/>
    <w:rsid w:val="1CD8702E"/>
    <w:rsid w:val="1CD97139"/>
    <w:rsid w:val="1CE13063"/>
    <w:rsid w:val="1CE2616E"/>
    <w:rsid w:val="1CF138EC"/>
    <w:rsid w:val="1CF15683"/>
    <w:rsid w:val="1CF333A5"/>
    <w:rsid w:val="1CF53F65"/>
    <w:rsid w:val="1CF73767"/>
    <w:rsid w:val="1CFA57E6"/>
    <w:rsid w:val="1D023336"/>
    <w:rsid w:val="1D023DFB"/>
    <w:rsid w:val="1D031DDA"/>
    <w:rsid w:val="1D0B731D"/>
    <w:rsid w:val="1D0C28B4"/>
    <w:rsid w:val="1D163452"/>
    <w:rsid w:val="1D1D6A68"/>
    <w:rsid w:val="1D1F1D0C"/>
    <w:rsid w:val="1D2054C4"/>
    <w:rsid w:val="1D24658B"/>
    <w:rsid w:val="1D276A39"/>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C7780B"/>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200F0"/>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1282A"/>
    <w:rsid w:val="1F280D38"/>
    <w:rsid w:val="1F303EA7"/>
    <w:rsid w:val="1F30637A"/>
    <w:rsid w:val="1F3111CE"/>
    <w:rsid w:val="1F323579"/>
    <w:rsid w:val="1F3C6AF7"/>
    <w:rsid w:val="1F405E44"/>
    <w:rsid w:val="1F4A3D83"/>
    <w:rsid w:val="1F4E681F"/>
    <w:rsid w:val="1F5174F6"/>
    <w:rsid w:val="1F5324C1"/>
    <w:rsid w:val="1F55375D"/>
    <w:rsid w:val="1F561E2A"/>
    <w:rsid w:val="1F5E088A"/>
    <w:rsid w:val="1F5F1E2B"/>
    <w:rsid w:val="1F631E9D"/>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04EE"/>
    <w:rsid w:val="1FD35404"/>
    <w:rsid w:val="1FDF6B08"/>
    <w:rsid w:val="1FDF7828"/>
    <w:rsid w:val="1FE045AC"/>
    <w:rsid w:val="1FE76FD3"/>
    <w:rsid w:val="1FE91483"/>
    <w:rsid w:val="1FED166B"/>
    <w:rsid w:val="1FF05FBA"/>
    <w:rsid w:val="1FF2649D"/>
    <w:rsid w:val="1FF82D26"/>
    <w:rsid w:val="1FFA19AD"/>
    <w:rsid w:val="2000119F"/>
    <w:rsid w:val="20007200"/>
    <w:rsid w:val="20023827"/>
    <w:rsid w:val="200D53BE"/>
    <w:rsid w:val="200E46CD"/>
    <w:rsid w:val="20107ED3"/>
    <w:rsid w:val="201359DF"/>
    <w:rsid w:val="20140382"/>
    <w:rsid w:val="201A75AF"/>
    <w:rsid w:val="201C304F"/>
    <w:rsid w:val="201C690F"/>
    <w:rsid w:val="20210624"/>
    <w:rsid w:val="202243AE"/>
    <w:rsid w:val="20263D53"/>
    <w:rsid w:val="20275ED1"/>
    <w:rsid w:val="20380A4C"/>
    <w:rsid w:val="203B1416"/>
    <w:rsid w:val="203C2005"/>
    <w:rsid w:val="20420995"/>
    <w:rsid w:val="20447B3E"/>
    <w:rsid w:val="204619A3"/>
    <w:rsid w:val="20463A2C"/>
    <w:rsid w:val="204D7AED"/>
    <w:rsid w:val="204E2A57"/>
    <w:rsid w:val="204F595B"/>
    <w:rsid w:val="2051593C"/>
    <w:rsid w:val="20532924"/>
    <w:rsid w:val="2055294B"/>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D1845"/>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62027"/>
    <w:rsid w:val="219842E4"/>
    <w:rsid w:val="21997056"/>
    <w:rsid w:val="219B2AEE"/>
    <w:rsid w:val="219D3F2A"/>
    <w:rsid w:val="21A350BE"/>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DD15F5"/>
    <w:rsid w:val="21F54612"/>
    <w:rsid w:val="21FF71D8"/>
    <w:rsid w:val="22021B37"/>
    <w:rsid w:val="2208516B"/>
    <w:rsid w:val="2209399D"/>
    <w:rsid w:val="22101F8E"/>
    <w:rsid w:val="221D5970"/>
    <w:rsid w:val="221E498F"/>
    <w:rsid w:val="222165C4"/>
    <w:rsid w:val="2225227E"/>
    <w:rsid w:val="222A2727"/>
    <w:rsid w:val="222E6801"/>
    <w:rsid w:val="222F381A"/>
    <w:rsid w:val="22315922"/>
    <w:rsid w:val="22343124"/>
    <w:rsid w:val="22352DCD"/>
    <w:rsid w:val="22454AA6"/>
    <w:rsid w:val="22484790"/>
    <w:rsid w:val="224D0005"/>
    <w:rsid w:val="224E39DE"/>
    <w:rsid w:val="224E74D0"/>
    <w:rsid w:val="22510B7D"/>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57510"/>
    <w:rsid w:val="230B07F6"/>
    <w:rsid w:val="23143B37"/>
    <w:rsid w:val="231544D3"/>
    <w:rsid w:val="2315496B"/>
    <w:rsid w:val="231637F9"/>
    <w:rsid w:val="231A014A"/>
    <w:rsid w:val="23221784"/>
    <w:rsid w:val="23230E78"/>
    <w:rsid w:val="23243296"/>
    <w:rsid w:val="232862C8"/>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5F299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9E248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B2B26"/>
    <w:rsid w:val="242C04D9"/>
    <w:rsid w:val="242D208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85237"/>
    <w:rsid w:val="24B93780"/>
    <w:rsid w:val="24BB79C6"/>
    <w:rsid w:val="24BD38BA"/>
    <w:rsid w:val="24C0685F"/>
    <w:rsid w:val="24CB49C1"/>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A4DC2"/>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0237"/>
    <w:rsid w:val="25F67042"/>
    <w:rsid w:val="260054CC"/>
    <w:rsid w:val="26071C55"/>
    <w:rsid w:val="260A55DA"/>
    <w:rsid w:val="260B255C"/>
    <w:rsid w:val="2611495B"/>
    <w:rsid w:val="261422BD"/>
    <w:rsid w:val="2618762A"/>
    <w:rsid w:val="26217848"/>
    <w:rsid w:val="2625247E"/>
    <w:rsid w:val="262E20E8"/>
    <w:rsid w:val="262E34C1"/>
    <w:rsid w:val="2636356A"/>
    <w:rsid w:val="263A49A2"/>
    <w:rsid w:val="263E0775"/>
    <w:rsid w:val="2640682F"/>
    <w:rsid w:val="264525AF"/>
    <w:rsid w:val="26472F6E"/>
    <w:rsid w:val="264929BD"/>
    <w:rsid w:val="264F2FA3"/>
    <w:rsid w:val="26510DB8"/>
    <w:rsid w:val="26531A21"/>
    <w:rsid w:val="26546CC0"/>
    <w:rsid w:val="265A4DDA"/>
    <w:rsid w:val="265E1EAA"/>
    <w:rsid w:val="266239C5"/>
    <w:rsid w:val="26626905"/>
    <w:rsid w:val="26630B51"/>
    <w:rsid w:val="26665149"/>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4CB7"/>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172739"/>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64F58"/>
    <w:rsid w:val="2897475A"/>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21DE3"/>
    <w:rsid w:val="290517ED"/>
    <w:rsid w:val="290753B9"/>
    <w:rsid w:val="291415DC"/>
    <w:rsid w:val="291712DF"/>
    <w:rsid w:val="29185BA4"/>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A0B7E"/>
    <w:rsid w:val="297D1A8B"/>
    <w:rsid w:val="29817476"/>
    <w:rsid w:val="29867EFF"/>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973B2"/>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36FC5"/>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63161"/>
    <w:rsid w:val="2ADC1447"/>
    <w:rsid w:val="2ADE1583"/>
    <w:rsid w:val="2AE70523"/>
    <w:rsid w:val="2AF12CDF"/>
    <w:rsid w:val="2AF27DCB"/>
    <w:rsid w:val="2AF92B4F"/>
    <w:rsid w:val="2AFA4CE2"/>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47A21"/>
    <w:rsid w:val="2B795BD8"/>
    <w:rsid w:val="2B8311DA"/>
    <w:rsid w:val="2B8759DF"/>
    <w:rsid w:val="2B8B34AB"/>
    <w:rsid w:val="2B9140C6"/>
    <w:rsid w:val="2B914C5E"/>
    <w:rsid w:val="2B9A134C"/>
    <w:rsid w:val="2BA252E6"/>
    <w:rsid w:val="2BA53554"/>
    <w:rsid w:val="2BA73698"/>
    <w:rsid w:val="2BAC4FE7"/>
    <w:rsid w:val="2BAD4C85"/>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57E0E"/>
    <w:rsid w:val="2BE64A3E"/>
    <w:rsid w:val="2BEC4F7F"/>
    <w:rsid w:val="2BF00C4E"/>
    <w:rsid w:val="2BF01DD3"/>
    <w:rsid w:val="2BF51B27"/>
    <w:rsid w:val="2BF52156"/>
    <w:rsid w:val="2BF82276"/>
    <w:rsid w:val="2C005788"/>
    <w:rsid w:val="2C11705A"/>
    <w:rsid w:val="2C1216FD"/>
    <w:rsid w:val="2C1A4267"/>
    <w:rsid w:val="2C1D636E"/>
    <w:rsid w:val="2C1F2C4F"/>
    <w:rsid w:val="2C1F7DED"/>
    <w:rsid w:val="2C2062AE"/>
    <w:rsid w:val="2C212418"/>
    <w:rsid w:val="2C213B90"/>
    <w:rsid w:val="2C23745C"/>
    <w:rsid w:val="2C253658"/>
    <w:rsid w:val="2C274174"/>
    <w:rsid w:val="2C29783D"/>
    <w:rsid w:val="2C2F1705"/>
    <w:rsid w:val="2C31232B"/>
    <w:rsid w:val="2C3147DC"/>
    <w:rsid w:val="2C361D74"/>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1016"/>
    <w:rsid w:val="2C865A05"/>
    <w:rsid w:val="2C8725B5"/>
    <w:rsid w:val="2C8B0557"/>
    <w:rsid w:val="2C971478"/>
    <w:rsid w:val="2C9A28D3"/>
    <w:rsid w:val="2CA37709"/>
    <w:rsid w:val="2CBC4209"/>
    <w:rsid w:val="2CC040B9"/>
    <w:rsid w:val="2CC12D54"/>
    <w:rsid w:val="2CC9742A"/>
    <w:rsid w:val="2CCA6094"/>
    <w:rsid w:val="2CCB3003"/>
    <w:rsid w:val="2CD17849"/>
    <w:rsid w:val="2CD465A8"/>
    <w:rsid w:val="2CD47078"/>
    <w:rsid w:val="2CDA4FDA"/>
    <w:rsid w:val="2CDC7091"/>
    <w:rsid w:val="2CE128DC"/>
    <w:rsid w:val="2CE16D71"/>
    <w:rsid w:val="2CE27F26"/>
    <w:rsid w:val="2CED6828"/>
    <w:rsid w:val="2CF4201A"/>
    <w:rsid w:val="2CF8269C"/>
    <w:rsid w:val="2CFD5C64"/>
    <w:rsid w:val="2CFF5200"/>
    <w:rsid w:val="2D0128E8"/>
    <w:rsid w:val="2D0450C7"/>
    <w:rsid w:val="2D0C5A2F"/>
    <w:rsid w:val="2D0E231B"/>
    <w:rsid w:val="2D145154"/>
    <w:rsid w:val="2D1A1A6B"/>
    <w:rsid w:val="2D1A4915"/>
    <w:rsid w:val="2D1C670F"/>
    <w:rsid w:val="2D210212"/>
    <w:rsid w:val="2D306B85"/>
    <w:rsid w:val="2D313196"/>
    <w:rsid w:val="2D323D75"/>
    <w:rsid w:val="2D371BB4"/>
    <w:rsid w:val="2D3F06B2"/>
    <w:rsid w:val="2D400A9F"/>
    <w:rsid w:val="2D540857"/>
    <w:rsid w:val="2D590555"/>
    <w:rsid w:val="2D617E8E"/>
    <w:rsid w:val="2D726428"/>
    <w:rsid w:val="2D770975"/>
    <w:rsid w:val="2D7A06F1"/>
    <w:rsid w:val="2D8151A4"/>
    <w:rsid w:val="2DA02E9C"/>
    <w:rsid w:val="2DAC4521"/>
    <w:rsid w:val="2DAE76AF"/>
    <w:rsid w:val="2DB520C8"/>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7C572A"/>
    <w:rsid w:val="2E855C37"/>
    <w:rsid w:val="2E861045"/>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B7B8B"/>
    <w:rsid w:val="2F3D481A"/>
    <w:rsid w:val="2F407763"/>
    <w:rsid w:val="2F417C99"/>
    <w:rsid w:val="2F427F5B"/>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20AB9"/>
    <w:rsid w:val="2FD6133F"/>
    <w:rsid w:val="2FD7115C"/>
    <w:rsid w:val="2FD84674"/>
    <w:rsid w:val="2FDB17E1"/>
    <w:rsid w:val="2FE079BA"/>
    <w:rsid w:val="2FE20568"/>
    <w:rsid w:val="2FE37171"/>
    <w:rsid w:val="2FE96835"/>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E6B85"/>
    <w:rsid w:val="302F0C7E"/>
    <w:rsid w:val="30354430"/>
    <w:rsid w:val="303F616B"/>
    <w:rsid w:val="3042736A"/>
    <w:rsid w:val="3045713F"/>
    <w:rsid w:val="30486EA7"/>
    <w:rsid w:val="30500A5C"/>
    <w:rsid w:val="305447A9"/>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1066D"/>
    <w:rsid w:val="3136546A"/>
    <w:rsid w:val="31391C98"/>
    <w:rsid w:val="313A7B85"/>
    <w:rsid w:val="313E22A6"/>
    <w:rsid w:val="31412F85"/>
    <w:rsid w:val="31454E97"/>
    <w:rsid w:val="314805C3"/>
    <w:rsid w:val="314A019C"/>
    <w:rsid w:val="314E27D6"/>
    <w:rsid w:val="31514FC5"/>
    <w:rsid w:val="3155756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201DE"/>
    <w:rsid w:val="32AC6196"/>
    <w:rsid w:val="32AD727A"/>
    <w:rsid w:val="32AF5A06"/>
    <w:rsid w:val="32B22C9D"/>
    <w:rsid w:val="32B6581D"/>
    <w:rsid w:val="32BA631C"/>
    <w:rsid w:val="32BC6631"/>
    <w:rsid w:val="32C05B65"/>
    <w:rsid w:val="32C30DC7"/>
    <w:rsid w:val="32C6418D"/>
    <w:rsid w:val="32CF3588"/>
    <w:rsid w:val="32D14A7F"/>
    <w:rsid w:val="32D26AE6"/>
    <w:rsid w:val="32D733FA"/>
    <w:rsid w:val="32DE353D"/>
    <w:rsid w:val="32E148E8"/>
    <w:rsid w:val="32E343F6"/>
    <w:rsid w:val="32E921F0"/>
    <w:rsid w:val="32F42760"/>
    <w:rsid w:val="32F61409"/>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6941"/>
    <w:rsid w:val="334703EE"/>
    <w:rsid w:val="334D7767"/>
    <w:rsid w:val="33610DDA"/>
    <w:rsid w:val="3362171F"/>
    <w:rsid w:val="3366319E"/>
    <w:rsid w:val="336A11D9"/>
    <w:rsid w:val="336C2B69"/>
    <w:rsid w:val="336F5120"/>
    <w:rsid w:val="337009B5"/>
    <w:rsid w:val="337333AD"/>
    <w:rsid w:val="33767D1F"/>
    <w:rsid w:val="337F446B"/>
    <w:rsid w:val="33835969"/>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3BDA"/>
    <w:rsid w:val="33E20DF0"/>
    <w:rsid w:val="33E570DD"/>
    <w:rsid w:val="33EA5517"/>
    <w:rsid w:val="33EE5E44"/>
    <w:rsid w:val="33F509C2"/>
    <w:rsid w:val="33F81D16"/>
    <w:rsid w:val="33FA2099"/>
    <w:rsid w:val="33FC464A"/>
    <w:rsid w:val="33FE4E44"/>
    <w:rsid w:val="34004C51"/>
    <w:rsid w:val="34026A40"/>
    <w:rsid w:val="34041CE3"/>
    <w:rsid w:val="34087429"/>
    <w:rsid w:val="340B146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70E63"/>
    <w:rsid w:val="346C0AEA"/>
    <w:rsid w:val="3473748E"/>
    <w:rsid w:val="347F540F"/>
    <w:rsid w:val="34863322"/>
    <w:rsid w:val="34885DB3"/>
    <w:rsid w:val="348F0ED3"/>
    <w:rsid w:val="348F7A0E"/>
    <w:rsid w:val="34943D90"/>
    <w:rsid w:val="34975090"/>
    <w:rsid w:val="349A0B7D"/>
    <w:rsid w:val="34A851E8"/>
    <w:rsid w:val="34A92857"/>
    <w:rsid w:val="34A94ADA"/>
    <w:rsid w:val="34A97BFE"/>
    <w:rsid w:val="34AC7B48"/>
    <w:rsid w:val="34B51A96"/>
    <w:rsid w:val="34BF1CD4"/>
    <w:rsid w:val="34C27960"/>
    <w:rsid w:val="34C800BD"/>
    <w:rsid w:val="34C936CD"/>
    <w:rsid w:val="34CC1DC7"/>
    <w:rsid w:val="34D47C8A"/>
    <w:rsid w:val="34D874E5"/>
    <w:rsid w:val="34DB0CAC"/>
    <w:rsid w:val="34DD3DF9"/>
    <w:rsid w:val="34E972FC"/>
    <w:rsid w:val="34F62CC4"/>
    <w:rsid w:val="34F83EF3"/>
    <w:rsid w:val="34F953E0"/>
    <w:rsid w:val="34FF2166"/>
    <w:rsid w:val="3503286C"/>
    <w:rsid w:val="3507280B"/>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BC67CD"/>
    <w:rsid w:val="35C154C0"/>
    <w:rsid w:val="35C7584B"/>
    <w:rsid w:val="35D2581D"/>
    <w:rsid w:val="35D31DE1"/>
    <w:rsid w:val="35D361F7"/>
    <w:rsid w:val="35D801CA"/>
    <w:rsid w:val="35DD2AEE"/>
    <w:rsid w:val="35E425DA"/>
    <w:rsid w:val="35EA6509"/>
    <w:rsid w:val="35EC2712"/>
    <w:rsid w:val="35ED04DC"/>
    <w:rsid w:val="35F44E5C"/>
    <w:rsid w:val="35F45994"/>
    <w:rsid w:val="35F8217F"/>
    <w:rsid w:val="3602050E"/>
    <w:rsid w:val="36077B5A"/>
    <w:rsid w:val="36101A49"/>
    <w:rsid w:val="361265F3"/>
    <w:rsid w:val="36163688"/>
    <w:rsid w:val="361A2F27"/>
    <w:rsid w:val="3624711B"/>
    <w:rsid w:val="36265F04"/>
    <w:rsid w:val="36266913"/>
    <w:rsid w:val="362952D6"/>
    <w:rsid w:val="36297754"/>
    <w:rsid w:val="362F3A87"/>
    <w:rsid w:val="36321093"/>
    <w:rsid w:val="363210F7"/>
    <w:rsid w:val="363F4D43"/>
    <w:rsid w:val="3640112F"/>
    <w:rsid w:val="36407BF2"/>
    <w:rsid w:val="36486576"/>
    <w:rsid w:val="364A08D8"/>
    <w:rsid w:val="364B2312"/>
    <w:rsid w:val="364D6FFD"/>
    <w:rsid w:val="364F7BB1"/>
    <w:rsid w:val="365955CF"/>
    <w:rsid w:val="365F765A"/>
    <w:rsid w:val="366013AA"/>
    <w:rsid w:val="36625046"/>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AA4517"/>
    <w:rsid w:val="36B121C7"/>
    <w:rsid w:val="36B21E43"/>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073A2"/>
    <w:rsid w:val="37446333"/>
    <w:rsid w:val="37446A77"/>
    <w:rsid w:val="374D0B20"/>
    <w:rsid w:val="37505E44"/>
    <w:rsid w:val="37557969"/>
    <w:rsid w:val="375D4473"/>
    <w:rsid w:val="37615F3C"/>
    <w:rsid w:val="376B106B"/>
    <w:rsid w:val="376C6090"/>
    <w:rsid w:val="377963D6"/>
    <w:rsid w:val="377A5D14"/>
    <w:rsid w:val="378075A4"/>
    <w:rsid w:val="3783595B"/>
    <w:rsid w:val="37840F0B"/>
    <w:rsid w:val="378772DD"/>
    <w:rsid w:val="378917C1"/>
    <w:rsid w:val="378A731A"/>
    <w:rsid w:val="378B0AAE"/>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55F29"/>
    <w:rsid w:val="37C93B72"/>
    <w:rsid w:val="37CC231E"/>
    <w:rsid w:val="37CC50A4"/>
    <w:rsid w:val="37CD1A78"/>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10527"/>
    <w:rsid w:val="38463F5F"/>
    <w:rsid w:val="384C2D57"/>
    <w:rsid w:val="38535C03"/>
    <w:rsid w:val="38557E21"/>
    <w:rsid w:val="3856501D"/>
    <w:rsid w:val="38590DD6"/>
    <w:rsid w:val="385F47DB"/>
    <w:rsid w:val="386777DB"/>
    <w:rsid w:val="38693A96"/>
    <w:rsid w:val="386A1921"/>
    <w:rsid w:val="386B38FB"/>
    <w:rsid w:val="38747711"/>
    <w:rsid w:val="38775820"/>
    <w:rsid w:val="387C755F"/>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67AE9"/>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12099"/>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23389"/>
    <w:rsid w:val="39FD2FB3"/>
    <w:rsid w:val="3A026596"/>
    <w:rsid w:val="3A082ABE"/>
    <w:rsid w:val="3A0A6393"/>
    <w:rsid w:val="3A0A686B"/>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6C38E7"/>
    <w:rsid w:val="3A6E3543"/>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6746"/>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751B7"/>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23E76"/>
    <w:rsid w:val="3C333216"/>
    <w:rsid w:val="3C36018F"/>
    <w:rsid w:val="3C391D18"/>
    <w:rsid w:val="3C3A7F01"/>
    <w:rsid w:val="3C3B0B4B"/>
    <w:rsid w:val="3C3D016E"/>
    <w:rsid w:val="3C4864AA"/>
    <w:rsid w:val="3C49796D"/>
    <w:rsid w:val="3C4F7D80"/>
    <w:rsid w:val="3C5475AD"/>
    <w:rsid w:val="3C591787"/>
    <w:rsid w:val="3C5A5888"/>
    <w:rsid w:val="3C6036F8"/>
    <w:rsid w:val="3C64689F"/>
    <w:rsid w:val="3C6E7D4D"/>
    <w:rsid w:val="3C740DAA"/>
    <w:rsid w:val="3C750E34"/>
    <w:rsid w:val="3C7A7CE8"/>
    <w:rsid w:val="3C7E65EC"/>
    <w:rsid w:val="3C812838"/>
    <w:rsid w:val="3C826AA5"/>
    <w:rsid w:val="3C851E2D"/>
    <w:rsid w:val="3C8555A2"/>
    <w:rsid w:val="3C8577D9"/>
    <w:rsid w:val="3C867450"/>
    <w:rsid w:val="3C893986"/>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31E3"/>
    <w:rsid w:val="3D0B7E6F"/>
    <w:rsid w:val="3D0C293C"/>
    <w:rsid w:val="3D0E6C84"/>
    <w:rsid w:val="3D0F1231"/>
    <w:rsid w:val="3D146E96"/>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2284"/>
    <w:rsid w:val="3D766E42"/>
    <w:rsid w:val="3D791797"/>
    <w:rsid w:val="3D7F0BCB"/>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05072"/>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E5FDB"/>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01F4"/>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2D2B"/>
    <w:rsid w:val="3F6B3632"/>
    <w:rsid w:val="3F742249"/>
    <w:rsid w:val="3F776E0A"/>
    <w:rsid w:val="3F7B72A7"/>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47DBE"/>
    <w:rsid w:val="40073561"/>
    <w:rsid w:val="400A1CFC"/>
    <w:rsid w:val="401D6DEE"/>
    <w:rsid w:val="401F7AF6"/>
    <w:rsid w:val="40201634"/>
    <w:rsid w:val="402079EB"/>
    <w:rsid w:val="402A08FF"/>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27FB0"/>
    <w:rsid w:val="40734334"/>
    <w:rsid w:val="40764D2C"/>
    <w:rsid w:val="40786FBC"/>
    <w:rsid w:val="407A5C67"/>
    <w:rsid w:val="407B4FD0"/>
    <w:rsid w:val="40801F54"/>
    <w:rsid w:val="40825FDB"/>
    <w:rsid w:val="40836EAD"/>
    <w:rsid w:val="408467AF"/>
    <w:rsid w:val="40907287"/>
    <w:rsid w:val="409238F2"/>
    <w:rsid w:val="40930EBC"/>
    <w:rsid w:val="40953EC0"/>
    <w:rsid w:val="409D027A"/>
    <w:rsid w:val="409F75BB"/>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C2057"/>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82265"/>
    <w:rsid w:val="41DC5EDF"/>
    <w:rsid w:val="41DD05DE"/>
    <w:rsid w:val="41E241CB"/>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6E629B"/>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D84B29"/>
    <w:rsid w:val="42E06A10"/>
    <w:rsid w:val="42EF51EC"/>
    <w:rsid w:val="42F41450"/>
    <w:rsid w:val="42F46A4C"/>
    <w:rsid w:val="42F503E1"/>
    <w:rsid w:val="42F511BA"/>
    <w:rsid w:val="42F875D5"/>
    <w:rsid w:val="43073BEF"/>
    <w:rsid w:val="430A5FFD"/>
    <w:rsid w:val="430D728C"/>
    <w:rsid w:val="43112BE5"/>
    <w:rsid w:val="43120C73"/>
    <w:rsid w:val="43181C3D"/>
    <w:rsid w:val="431B56C6"/>
    <w:rsid w:val="431C7B04"/>
    <w:rsid w:val="431F752B"/>
    <w:rsid w:val="43210932"/>
    <w:rsid w:val="432466AA"/>
    <w:rsid w:val="432B0FC9"/>
    <w:rsid w:val="432E5E21"/>
    <w:rsid w:val="432F4EDA"/>
    <w:rsid w:val="4334749B"/>
    <w:rsid w:val="433C41B8"/>
    <w:rsid w:val="433D2335"/>
    <w:rsid w:val="433F57C3"/>
    <w:rsid w:val="43423065"/>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B0462"/>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13A17"/>
    <w:rsid w:val="44AA6690"/>
    <w:rsid w:val="44AC7B53"/>
    <w:rsid w:val="44AD2A20"/>
    <w:rsid w:val="44B41964"/>
    <w:rsid w:val="44B4690B"/>
    <w:rsid w:val="44B53006"/>
    <w:rsid w:val="44B94962"/>
    <w:rsid w:val="44BA1648"/>
    <w:rsid w:val="44BA7605"/>
    <w:rsid w:val="44BB150F"/>
    <w:rsid w:val="44BB7FD3"/>
    <w:rsid w:val="44BE4FA9"/>
    <w:rsid w:val="44C43057"/>
    <w:rsid w:val="44C46F12"/>
    <w:rsid w:val="44C816C4"/>
    <w:rsid w:val="44C87C0F"/>
    <w:rsid w:val="44C932D0"/>
    <w:rsid w:val="44CB4FB3"/>
    <w:rsid w:val="44D31B1E"/>
    <w:rsid w:val="44DF6F1B"/>
    <w:rsid w:val="44E54BDC"/>
    <w:rsid w:val="44E92DF3"/>
    <w:rsid w:val="44EC6808"/>
    <w:rsid w:val="44F3687D"/>
    <w:rsid w:val="44F82D0E"/>
    <w:rsid w:val="45004D64"/>
    <w:rsid w:val="450174D5"/>
    <w:rsid w:val="451C5E9C"/>
    <w:rsid w:val="45214561"/>
    <w:rsid w:val="452C5F0A"/>
    <w:rsid w:val="453401C9"/>
    <w:rsid w:val="45347499"/>
    <w:rsid w:val="453579B0"/>
    <w:rsid w:val="45385EDA"/>
    <w:rsid w:val="453F48AB"/>
    <w:rsid w:val="454036A6"/>
    <w:rsid w:val="45446179"/>
    <w:rsid w:val="454B3455"/>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B46C5"/>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1567F"/>
    <w:rsid w:val="461B3B13"/>
    <w:rsid w:val="461B7F64"/>
    <w:rsid w:val="461F36FD"/>
    <w:rsid w:val="4622721C"/>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6D0B"/>
    <w:rsid w:val="4735743C"/>
    <w:rsid w:val="473D0BD8"/>
    <w:rsid w:val="47457188"/>
    <w:rsid w:val="47502F2C"/>
    <w:rsid w:val="47561DDC"/>
    <w:rsid w:val="47592D4E"/>
    <w:rsid w:val="47644CFB"/>
    <w:rsid w:val="47666951"/>
    <w:rsid w:val="47683159"/>
    <w:rsid w:val="476A7D07"/>
    <w:rsid w:val="47727E29"/>
    <w:rsid w:val="477F2C09"/>
    <w:rsid w:val="478046DF"/>
    <w:rsid w:val="478904C5"/>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CD78A0"/>
    <w:rsid w:val="47D261CA"/>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04FE6"/>
    <w:rsid w:val="48942964"/>
    <w:rsid w:val="489B4431"/>
    <w:rsid w:val="489E6A24"/>
    <w:rsid w:val="489F0E5C"/>
    <w:rsid w:val="48A252D4"/>
    <w:rsid w:val="48A36B1C"/>
    <w:rsid w:val="48A76BEF"/>
    <w:rsid w:val="48AF255D"/>
    <w:rsid w:val="48B16C29"/>
    <w:rsid w:val="48B305F1"/>
    <w:rsid w:val="48B44D6B"/>
    <w:rsid w:val="48B470F8"/>
    <w:rsid w:val="48B75AB4"/>
    <w:rsid w:val="48B977ED"/>
    <w:rsid w:val="48C17F25"/>
    <w:rsid w:val="48C3444A"/>
    <w:rsid w:val="48C34E74"/>
    <w:rsid w:val="48C43EFA"/>
    <w:rsid w:val="48C538B2"/>
    <w:rsid w:val="48C70477"/>
    <w:rsid w:val="48C72E35"/>
    <w:rsid w:val="48C82BD7"/>
    <w:rsid w:val="48CB0DA2"/>
    <w:rsid w:val="48D25798"/>
    <w:rsid w:val="48DC218B"/>
    <w:rsid w:val="48E3517D"/>
    <w:rsid w:val="48EA0E66"/>
    <w:rsid w:val="48F04BA1"/>
    <w:rsid w:val="48F447F8"/>
    <w:rsid w:val="48F612E3"/>
    <w:rsid w:val="48FE11C0"/>
    <w:rsid w:val="48FE59FA"/>
    <w:rsid w:val="49046287"/>
    <w:rsid w:val="490517F7"/>
    <w:rsid w:val="49075A63"/>
    <w:rsid w:val="49086CBA"/>
    <w:rsid w:val="490933FA"/>
    <w:rsid w:val="490A4D2F"/>
    <w:rsid w:val="490A64AF"/>
    <w:rsid w:val="490D18E7"/>
    <w:rsid w:val="49111AA9"/>
    <w:rsid w:val="491709CE"/>
    <w:rsid w:val="491C3261"/>
    <w:rsid w:val="491F3980"/>
    <w:rsid w:val="49217522"/>
    <w:rsid w:val="49224F55"/>
    <w:rsid w:val="49241D45"/>
    <w:rsid w:val="4929748F"/>
    <w:rsid w:val="492B2D35"/>
    <w:rsid w:val="492F1F4E"/>
    <w:rsid w:val="4935171C"/>
    <w:rsid w:val="49366254"/>
    <w:rsid w:val="493A0176"/>
    <w:rsid w:val="49432B91"/>
    <w:rsid w:val="494502AA"/>
    <w:rsid w:val="494A4FB3"/>
    <w:rsid w:val="494D614B"/>
    <w:rsid w:val="49505C0C"/>
    <w:rsid w:val="49523131"/>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66518"/>
    <w:rsid w:val="49BA6924"/>
    <w:rsid w:val="49C20C6C"/>
    <w:rsid w:val="49CE0C89"/>
    <w:rsid w:val="49D033A8"/>
    <w:rsid w:val="49D93C20"/>
    <w:rsid w:val="49DA3FD3"/>
    <w:rsid w:val="49DA7AB7"/>
    <w:rsid w:val="49E028D9"/>
    <w:rsid w:val="49E27959"/>
    <w:rsid w:val="49E353F8"/>
    <w:rsid w:val="49E46DD1"/>
    <w:rsid w:val="49E95933"/>
    <w:rsid w:val="49EC3766"/>
    <w:rsid w:val="49F7729C"/>
    <w:rsid w:val="49FA3B2A"/>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47154"/>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66CC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25F8E"/>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314E7"/>
    <w:rsid w:val="4D063B0D"/>
    <w:rsid w:val="4D0B299E"/>
    <w:rsid w:val="4D0F1680"/>
    <w:rsid w:val="4D1855BA"/>
    <w:rsid w:val="4D1D6CA0"/>
    <w:rsid w:val="4D224A2C"/>
    <w:rsid w:val="4D251C18"/>
    <w:rsid w:val="4D2609C6"/>
    <w:rsid w:val="4D2A2C09"/>
    <w:rsid w:val="4D2B2E28"/>
    <w:rsid w:val="4D2F5C2A"/>
    <w:rsid w:val="4D33448A"/>
    <w:rsid w:val="4D3919C1"/>
    <w:rsid w:val="4D3E5124"/>
    <w:rsid w:val="4D3E63D1"/>
    <w:rsid w:val="4D3F3AA0"/>
    <w:rsid w:val="4D3F4840"/>
    <w:rsid w:val="4D410392"/>
    <w:rsid w:val="4D422D07"/>
    <w:rsid w:val="4D427BBD"/>
    <w:rsid w:val="4D551492"/>
    <w:rsid w:val="4D5646C6"/>
    <w:rsid w:val="4D570519"/>
    <w:rsid w:val="4D5A2B9C"/>
    <w:rsid w:val="4D5C5732"/>
    <w:rsid w:val="4D601BF0"/>
    <w:rsid w:val="4D6411C2"/>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A5CC7"/>
    <w:rsid w:val="4DDF6E13"/>
    <w:rsid w:val="4DE5202D"/>
    <w:rsid w:val="4DE54C28"/>
    <w:rsid w:val="4DE60E50"/>
    <w:rsid w:val="4DE93E38"/>
    <w:rsid w:val="4DEB4734"/>
    <w:rsid w:val="4DEF33CD"/>
    <w:rsid w:val="4DF00490"/>
    <w:rsid w:val="4DF20FEE"/>
    <w:rsid w:val="4DF2434F"/>
    <w:rsid w:val="4DF43CA1"/>
    <w:rsid w:val="4DF44835"/>
    <w:rsid w:val="4DF723D0"/>
    <w:rsid w:val="4DFA2AA2"/>
    <w:rsid w:val="4E007E98"/>
    <w:rsid w:val="4E016672"/>
    <w:rsid w:val="4E066F25"/>
    <w:rsid w:val="4E0939E5"/>
    <w:rsid w:val="4E1561BE"/>
    <w:rsid w:val="4E176DF3"/>
    <w:rsid w:val="4E1848CB"/>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C28CD"/>
    <w:rsid w:val="4EFE4EC2"/>
    <w:rsid w:val="4EFF3444"/>
    <w:rsid w:val="4F037BFA"/>
    <w:rsid w:val="4F0441E5"/>
    <w:rsid w:val="4F0B02F1"/>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6F1D68"/>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E3C6C"/>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0D66CA"/>
    <w:rsid w:val="50100572"/>
    <w:rsid w:val="501333CC"/>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6A16D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073C"/>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9654E"/>
    <w:rsid w:val="514C1E16"/>
    <w:rsid w:val="514F0A29"/>
    <w:rsid w:val="515361F4"/>
    <w:rsid w:val="51536D04"/>
    <w:rsid w:val="515529BB"/>
    <w:rsid w:val="515A64E3"/>
    <w:rsid w:val="515C30A6"/>
    <w:rsid w:val="5161698E"/>
    <w:rsid w:val="5163574F"/>
    <w:rsid w:val="51651617"/>
    <w:rsid w:val="5179450A"/>
    <w:rsid w:val="51797588"/>
    <w:rsid w:val="517C0CA0"/>
    <w:rsid w:val="517D17DB"/>
    <w:rsid w:val="517F00BC"/>
    <w:rsid w:val="51835DB6"/>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CE113D"/>
    <w:rsid w:val="51D42177"/>
    <w:rsid w:val="51D43598"/>
    <w:rsid w:val="51DA51E8"/>
    <w:rsid w:val="51DA5890"/>
    <w:rsid w:val="51E90CD5"/>
    <w:rsid w:val="51EE7B3E"/>
    <w:rsid w:val="51F51BD1"/>
    <w:rsid w:val="51F96848"/>
    <w:rsid w:val="51FB40B5"/>
    <w:rsid w:val="52073487"/>
    <w:rsid w:val="52076A00"/>
    <w:rsid w:val="520858AE"/>
    <w:rsid w:val="520A7B89"/>
    <w:rsid w:val="520E648E"/>
    <w:rsid w:val="521C5D43"/>
    <w:rsid w:val="521D7ED7"/>
    <w:rsid w:val="522501D7"/>
    <w:rsid w:val="52257DA4"/>
    <w:rsid w:val="52325EE7"/>
    <w:rsid w:val="523279D8"/>
    <w:rsid w:val="52333E0D"/>
    <w:rsid w:val="5239194F"/>
    <w:rsid w:val="524D342E"/>
    <w:rsid w:val="524E54BD"/>
    <w:rsid w:val="5257696B"/>
    <w:rsid w:val="52591ADC"/>
    <w:rsid w:val="525D4BC4"/>
    <w:rsid w:val="52612620"/>
    <w:rsid w:val="52626079"/>
    <w:rsid w:val="526325FA"/>
    <w:rsid w:val="526478E1"/>
    <w:rsid w:val="526A1A2F"/>
    <w:rsid w:val="526A546C"/>
    <w:rsid w:val="52790FD9"/>
    <w:rsid w:val="527B646A"/>
    <w:rsid w:val="52887A7D"/>
    <w:rsid w:val="52892904"/>
    <w:rsid w:val="52894DE6"/>
    <w:rsid w:val="528C5E23"/>
    <w:rsid w:val="528D1034"/>
    <w:rsid w:val="52993DA6"/>
    <w:rsid w:val="529B5EE8"/>
    <w:rsid w:val="529F0D9B"/>
    <w:rsid w:val="529F5E7F"/>
    <w:rsid w:val="52A218A5"/>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0D72"/>
    <w:rsid w:val="53DC2808"/>
    <w:rsid w:val="53DD04B0"/>
    <w:rsid w:val="53DE4BEA"/>
    <w:rsid w:val="53DF54A9"/>
    <w:rsid w:val="53E07B00"/>
    <w:rsid w:val="53E27BE1"/>
    <w:rsid w:val="53EC3D29"/>
    <w:rsid w:val="53EE37DC"/>
    <w:rsid w:val="53F90D34"/>
    <w:rsid w:val="53FA05A6"/>
    <w:rsid w:val="54002BFD"/>
    <w:rsid w:val="54066342"/>
    <w:rsid w:val="540A0F22"/>
    <w:rsid w:val="541862C6"/>
    <w:rsid w:val="541942B6"/>
    <w:rsid w:val="541A3E14"/>
    <w:rsid w:val="541A40BD"/>
    <w:rsid w:val="541F38E3"/>
    <w:rsid w:val="542A1803"/>
    <w:rsid w:val="542A3FEF"/>
    <w:rsid w:val="542A5504"/>
    <w:rsid w:val="542D153F"/>
    <w:rsid w:val="542F5BB7"/>
    <w:rsid w:val="542F7A60"/>
    <w:rsid w:val="54346136"/>
    <w:rsid w:val="5438183D"/>
    <w:rsid w:val="545175D7"/>
    <w:rsid w:val="54525BFB"/>
    <w:rsid w:val="5452765B"/>
    <w:rsid w:val="54550067"/>
    <w:rsid w:val="54580F5A"/>
    <w:rsid w:val="545D3E4A"/>
    <w:rsid w:val="54757648"/>
    <w:rsid w:val="5478695B"/>
    <w:rsid w:val="54860559"/>
    <w:rsid w:val="548810E8"/>
    <w:rsid w:val="54906088"/>
    <w:rsid w:val="54907EF0"/>
    <w:rsid w:val="549438A5"/>
    <w:rsid w:val="54955E91"/>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B5E03"/>
    <w:rsid w:val="54ED7E47"/>
    <w:rsid w:val="550E6C32"/>
    <w:rsid w:val="551C2E90"/>
    <w:rsid w:val="552D52C7"/>
    <w:rsid w:val="55397CF2"/>
    <w:rsid w:val="5546565D"/>
    <w:rsid w:val="554E0863"/>
    <w:rsid w:val="555737A6"/>
    <w:rsid w:val="55577AFF"/>
    <w:rsid w:val="55597711"/>
    <w:rsid w:val="555B6E18"/>
    <w:rsid w:val="55611FED"/>
    <w:rsid w:val="556C1CC4"/>
    <w:rsid w:val="55712540"/>
    <w:rsid w:val="55731953"/>
    <w:rsid w:val="55743D64"/>
    <w:rsid w:val="55754C1A"/>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AC252A"/>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37FBD"/>
    <w:rsid w:val="55E5367A"/>
    <w:rsid w:val="55E83D2F"/>
    <w:rsid w:val="55EF6B25"/>
    <w:rsid w:val="55F32170"/>
    <w:rsid w:val="55F37542"/>
    <w:rsid w:val="55F80741"/>
    <w:rsid w:val="55FE6BCF"/>
    <w:rsid w:val="56017EDE"/>
    <w:rsid w:val="56027E43"/>
    <w:rsid w:val="56030BD3"/>
    <w:rsid w:val="560469FC"/>
    <w:rsid w:val="5609174E"/>
    <w:rsid w:val="561036D3"/>
    <w:rsid w:val="561524FF"/>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85BCB"/>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A6A19"/>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94B7E"/>
    <w:rsid w:val="573B3910"/>
    <w:rsid w:val="574460A0"/>
    <w:rsid w:val="57484376"/>
    <w:rsid w:val="574B4B12"/>
    <w:rsid w:val="57541D22"/>
    <w:rsid w:val="575425F9"/>
    <w:rsid w:val="575430BB"/>
    <w:rsid w:val="57555CE5"/>
    <w:rsid w:val="575A2017"/>
    <w:rsid w:val="575C5FBB"/>
    <w:rsid w:val="57685F5D"/>
    <w:rsid w:val="57692A18"/>
    <w:rsid w:val="576D6DDF"/>
    <w:rsid w:val="57702374"/>
    <w:rsid w:val="57780ED4"/>
    <w:rsid w:val="577E3A90"/>
    <w:rsid w:val="57836538"/>
    <w:rsid w:val="57886A0D"/>
    <w:rsid w:val="57896321"/>
    <w:rsid w:val="578B78A1"/>
    <w:rsid w:val="57903D73"/>
    <w:rsid w:val="57955219"/>
    <w:rsid w:val="579A7C07"/>
    <w:rsid w:val="579F309F"/>
    <w:rsid w:val="57A46FEE"/>
    <w:rsid w:val="57AA5A5F"/>
    <w:rsid w:val="57AF6523"/>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7884"/>
    <w:rsid w:val="58153B58"/>
    <w:rsid w:val="581C6E66"/>
    <w:rsid w:val="582133AC"/>
    <w:rsid w:val="58222A6D"/>
    <w:rsid w:val="5822786C"/>
    <w:rsid w:val="58243371"/>
    <w:rsid w:val="58283FFE"/>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C6895"/>
    <w:rsid w:val="58EE536D"/>
    <w:rsid w:val="58F57D12"/>
    <w:rsid w:val="58F81486"/>
    <w:rsid w:val="59094784"/>
    <w:rsid w:val="59255E05"/>
    <w:rsid w:val="59267EF0"/>
    <w:rsid w:val="59287A6A"/>
    <w:rsid w:val="592C2EB2"/>
    <w:rsid w:val="592E39AE"/>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E7EFE"/>
    <w:rsid w:val="598635D7"/>
    <w:rsid w:val="599148CE"/>
    <w:rsid w:val="59946630"/>
    <w:rsid w:val="599A1291"/>
    <w:rsid w:val="599E418E"/>
    <w:rsid w:val="59A22883"/>
    <w:rsid w:val="59A24ED6"/>
    <w:rsid w:val="59AD3277"/>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5D288D"/>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B773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2100E"/>
    <w:rsid w:val="5AF341EB"/>
    <w:rsid w:val="5AF405C5"/>
    <w:rsid w:val="5AF82FCA"/>
    <w:rsid w:val="5AF8657A"/>
    <w:rsid w:val="5AFA42E0"/>
    <w:rsid w:val="5AFD3105"/>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70B47"/>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42D5"/>
    <w:rsid w:val="5B9319B5"/>
    <w:rsid w:val="5B96407F"/>
    <w:rsid w:val="5B975E5B"/>
    <w:rsid w:val="5B9C0984"/>
    <w:rsid w:val="5B9D5FB0"/>
    <w:rsid w:val="5BA036A0"/>
    <w:rsid w:val="5BA65080"/>
    <w:rsid w:val="5BA76A78"/>
    <w:rsid w:val="5BAB7E26"/>
    <w:rsid w:val="5BAE679D"/>
    <w:rsid w:val="5BB214B7"/>
    <w:rsid w:val="5BB424C4"/>
    <w:rsid w:val="5BB576AD"/>
    <w:rsid w:val="5BB6242D"/>
    <w:rsid w:val="5BB73316"/>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77DB9"/>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128F2"/>
    <w:rsid w:val="5C2218F7"/>
    <w:rsid w:val="5C2F0381"/>
    <w:rsid w:val="5C3B2DCF"/>
    <w:rsid w:val="5C474C2E"/>
    <w:rsid w:val="5C494C6D"/>
    <w:rsid w:val="5C500AF8"/>
    <w:rsid w:val="5C517866"/>
    <w:rsid w:val="5C523483"/>
    <w:rsid w:val="5C527003"/>
    <w:rsid w:val="5C5348B4"/>
    <w:rsid w:val="5C5E033F"/>
    <w:rsid w:val="5C6875EE"/>
    <w:rsid w:val="5C6B21CA"/>
    <w:rsid w:val="5C6F12DC"/>
    <w:rsid w:val="5C731040"/>
    <w:rsid w:val="5C7A2919"/>
    <w:rsid w:val="5C84202F"/>
    <w:rsid w:val="5C8F19C2"/>
    <w:rsid w:val="5C902E70"/>
    <w:rsid w:val="5C986CFA"/>
    <w:rsid w:val="5C9E61D8"/>
    <w:rsid w:val="5CA15C9A"/>
    <w:rsid w:val="5CA57043"/>
    <w:rsid w:val="5CA62CEF"/>
    <w:rsid w:val="5CB157B0"/>
    <w:rsid w:val="5CBF4297"/>
    <w:rsid w:val="5CC26B83"/>
    <w:rsid w:val="5CC43404"/>
    <w:rsid w:val="5CC93DAE"/>
    <w:rsid w:val="5CCF7073"/>
    <w:rsid w:val="5CD31EE3"/>
    <w:rsid w:val="5CD774F9"/>
    <w:rsid w:val="5CE03F3E"/>
    <w:rsid w:val="5CE1654F"/>
    <w:rsid w:val="5CE47CF9"/>
    <w:rsid w:val="5CEB1D70"/>
    <w:rsid w:val="5CF45558"/>
    <w:rsid w:val="5CF70E19"/>
    <w:rsid w:val="5CFB7A99"/>
    <w:rsid w:val="5D00730C"/>
    <w:rsid w:val="5D025F41"/>
    <w:rsid w:val="5D072BC8"/>
    <w:rsid w:val="5D076525"/>
    <w:rsid w:val="5D0A3A75"/>
    <w:rsid w:val="5D0C1CFA"/>
    <w:rsid w:val="5D0D2F8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B3D9F"/>
    <w:rsid w:val="5D9F6617"/>
    <w:rsid w:val="5D9F7C74"/>
    <w:rsid w:val="5DAE2E8C"/>
    <w:rsid w:val="5DAE7F34"/>
    <w:rsid w:val="5DB42E5D"/>
    <w:rsid w:val="5DB509ED"/>
    <w:rsid w:val="5DB65502"/>
    <w:rsid w:val="5DB906BB"/>
    <w:rsid w:val="5DC41A63"/>
    <w:rsid w:val="5DD70750"/>
    <w:rsid w:val="5DD866E8"/>
    <w:rsid w:val="5DE33590"/>
    <w:rsid w:val="5DE44DF4"/>
    <w:rsid w:val="5DED4540"/>
    <w:rsid w:val="5E00720B"/>
    <w:rsid w:val="5E012896"/>
    <w:rsid w:val="5E0825B2"/>
    <w:rsid w:val="5E0A6049"/>
    <w:rsid w:val="5E156B70"/>
    <w:rsid w:val="5E1574AD"/>
    <w:rsid w:val="5E1E0D81"/>
    <w:rsid w:val="5E21165A"/>
    <w:rsid w:val="5E214E1E"/>
    <w:rsid w:val="5E226508"/>
    <w:rsid w:val="5E2368B5"/>
    <w:rsid w:val="5E244F3C"/>
    <w:rsid w:val="5E261D69"/>
    <w:rsid w:val="5E26434E"/>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CF732C"/>
    <w:rsid w:val="5ED95EEE"/>
    <w:rsid w:val="5EE36FBA"/>
    <w:rsid w:val="5EE55DDE"/>
    <w:rsid w:val="5EF04AC4"/>
    <w:rsid w:val="5EF47473"/>
    <w:rsid w:val="5EF71068"/>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CF211B"/>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34AE"/>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51F92"/>
    <w:rsid w:val="60F615C9"/>
    <w:rsid w:val="60FB7A98"/>
    <w:rsid w:val="61027740"/>
    <w:rsid w:val="61034098"/>
    <w:rsid w:val="61067A64"/>
    <w:rsid w:val="610C7D1D"/>
    <w:rsid w:val="610F66EC"/>
    <w:rsid w:val="61105E47"/>
    <w:rsid w:val="6112529A"/>
    <w:rsid w:val="611A085E"/>
    <w:rsid w:val="611A7B15"/>
    <w:rsid w:val="611C59F7"/>
    <w:rsid w:val="611F0B09"/>
    <w:rsid w:val="61200AAF"/>
    <w:rsid w:val="612D2321"/>
    <w:rsid w:val="612F769F"/>
    <w:rsid w:val="613964B7"/>
    <w:rsid w:val="614430E2"/>
    <w:rsid w:val="61455CF4"/>
    <w:rsid w:val="61466898"/>
    <w:rsid w:val="61512409"/>
    <w:rsid w:val="615B2659"/>
    <w:rsid w:val="615E36E9"/>
    <w:rsid w:val="615E3F04"/>
    <w:rsid w:val="61640358"/>
    <w:rsid w:val="61666894"/>
    <w:rsid w:val="61676068"/>
    <w:rsid w:val="616B25D0"/>
    <w:rsid w:val="616C1663"/>
    <w:rsid w:val="616E223F"/>
    <w:rsid w:val="617305C5"/>
    <w:rsid w:val="61751F59"/>
    <w:rsid w:val="617915C1"/>
    <w:rsid w:val="617C0ABB"/>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54035"/>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27D8A"/>
    <w:rsid w:val="63427E24"/>
    <w:rsid w:val="634331FC"/>
    <w:rsid w:val="63443DC2"/>
    <w:rsid w:val="634B6A95"/>
    <w:rsid w:val="634F6CB9"/>
    <w:rsid w:val="63555A9A"/>
    <w:rsid w:val="63584B3D"/>
    <w:rsid w:val="63597552"/>
    <w:rsid w:val="635E6984"/>
    <w:rsid w:val="635F50A8"/>
    <w:rsid w:val="63615D3E"/>
    <w:rsid w:val="6367139B"/>
    <w:rsid w:val="63683422"/>
    <w:rsid w:val="636C62BA"/>
    <w:rsid w:val="63710BA6"/>
    <w:rsid w:val="637346BC"/>
    <w:rsid w:val="637D75E6"/>
    <w:rsid w:val="637E4066"/>
    <w:rsid w:val="63821D61"/>
    <w:rsid w:val="638266CE"/>
    <w:rsid w:val="63827E36"/>
    <w:rsid w:val="63842477"/>
    <w:rsid w:val="6386156F"/>
    <w:rsid w:val="638823F9"/>
    <w:rsid w:val="63891BA5"/>
    <w:rsid w:val="638B04D2"/>
    <w:rsid w:val="638F3BE8"/>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7C37ED"/>
    <w:rsid w:val="64814078"/>
    <w:rsid w:val="648B777B"/>
    <w:rsid w:val="64937D17"/>
    <w:rsid w:val="6494650D"/>
    <w:rsid w:val="64961064"/>
    <w:rsid w:val="64984C13"/>
    <w:rsid w:val="649A6134"/>
    <w:rsid w:val="649D2569"/>
    <w:rsid w:val="64A157DA"/>
    <w:rsid w:val="64A32650"/>
    <w:rsid w:val="64A51362"/>
    <w:rsid w:val="64A55A03"/>
    <w:rsid w:val="64A62D1B"/>
    <w:rsid w:val="64A860F2"/>
    <w:rsid w:val="64AD4200"/>
    <w:rsid w:val="64AF09FF"/>
    <w:rsid w:val="64B32CD7"/>
    <w:rsid w:val="64B453B1"/>
    <w:rsid w:val="64B8032B"/>
    <w:rsid w:val="64BE5702"/>
    <w:rsid w:val="64C16289"/>
    <w:rsid w:val="64CF05E4"/>
    <w:rsid w:val="64CF1E41"/>
    <w:rsid w:val="64D32645"/>
    <w:rsid w:val="64D40BDA"/>
    <w:rsid w:val="64D93F02"/>
    <w:rsid w:val="64DF1E48"/>
    <w:rsid w:val="64DF440C"/>
    <w:rsid w:val="64E52880"/>
    <w:rsid w:val="64E5543E"/>
    <w:rsid w:val="64E76F6D"/>
    <w:rsid w:val="64EA4517"/>
    <w:rsid w:val="64FC561C"/>
    <w:rsid w:val="64FC687A"/>
    <w:rsid w:val="64FE0E31"/>
    <w:rsid w:val="64FF399F"/>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070F6"/>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575D0"/>
    <w:rsid w:val="65D43869"/>
    <w:rsid w:val="65D64BB3"/>
    <w:rsid w:val="65D70270"/>
    <w:rsid w:val="65DD5D69"/>
    <w:rsid w:val="65E91B08"/>
    <w:rsid w:val="65F2016B"/>
    <w:rsid w:val="65F5725F"/>
    <w:rsid w:val="65FA05DC"/>
    <w:rsid w:val="66032E7B"/>
    <w:rsid w:val="66053581"/>
    <w:rsid w:val="6609517F"/>
    <w:rsid w:val="660A19B0"/>
    <w:rsid w:val="660B3A10"/>
    <w:rsid w:val="661026AA"/>
    <w:rsid w:val="661207AA"/>
    <w:rsid w:val="661635F6"/>
    <w:rsid w:val="6617702C"/>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355F09"/>
    <w:rsid w:val="67441B08"/>
    <w:rsid w:val="674E2802"/>
    <w:rsid w:val="674F6E76"/>
    <w:rsid w:val="67513E69"/>
    <w:rsid w:val="675A0CA3"/>
    <w:rsid w:val="675A17FE"/>
    <w:rsid w:val="675F7FA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B3588"/>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747EF"/>
    <w:rsid w:val="683D75A2"/>
    <w:rsid w:val="683F63B6"/>
    <w:rsid w:val="68436C4F"/>
    <w:rsid w:val="68451270"/>
    <w:rsid w:val="68460647"/>
    <w:rsid w:val="684703E5"/>
    <w:rsid w:val="68495F2A"/>
    <w:rsid w:val="684F1282"/>
    <w:rsid w:val="6850356A"/>
    <w:rsid w:val="685465AC"/>
    <w:rsid w:val="68640FCC"/>
    <w:rsid w:val="68650339"/>
    <w:rsid w:val="68651915"/>
    <w:rsid w:val="68670AE1"/>
    <w:rsid w:val="686A3251"/>
    <w:rsid w:val="68733F18"/>
    <w:rsid w:val="687442EE"/>
    <w:rsid w:val="68772A56"/>
    <w:rsid w:val="687C7996"/>
    <w:rsid w:val="687E1768"/>
    <w:rsid w:val="68841869"/>
    <w:rsid w:val="689B3E14"/>
    <w:rsid w:val="689B7663"/>
    <w:rsid w:val="689C5C1D"/>
    <w:rsid w:val="689D6F4C"/>
    <w:rsid w:val="689F2FA0"/>
    <w:rsid w:val="689F34DF"/>
    <w:rsid w:val="689F3EC0"/>
    <w:rsid w:val="68A02CE9"/>
    <w:rsid w:val="68A036C8"/>
    <w:rsid w:val="68A41350"/>
    <w:rsid w:val="68AD26AA"/>
    <w:rsid w:val="68AE2B22"/>
    <w:rsid w:val="68AF4FD2"/>
    <w:rsid w:val="68B54464"/>
    <w:rsid w:val="68BC14B0"/>
    <w:rsid w:val="68BC512A"/>
    <w:rsid w:val="68BF0078"/>
    <w:rsid w:val="68C04067"/>
    <w:rsid w:val="68C20D16"/>
    <w:rsid w:val="68CA4525"/>
    <w:rsid w:val="68D034F0"/>
    <w:rsid w:val="68D94717"/>
    <w:rsid w:val="68DD619B"/>
    <w:rsid w:val="68EC3A15"/>
    <w:rsid w:val="68ED69A7"/>
    <w:rsid w:val="68FC4C9F"/>
    <w:rsid w:val="68FD5593"/>
    <w:rsid w:val="69032565"/>
    <w:rsid w:val="690616DE"/>
    <w:rsid w:val="69073414"/>
    <w:rsid w:val="690C4501"/>
    <w:rsid w:val="690F0ADD"/>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D087B"/>
    <w:rsid w:val="69807B1E"/>
    <w:rsid w:val="698D012C"/>
    <w:rsid w:val="698D372F"/>
    <w:rsid w:val="69912736"/>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0E7DD4"/>
    <w:rsid w:val="6A121AB8"/>
    <w:rsid w:val="6A12415B"/>
    <w:rsid w:val="6A152CC8"/>
    <w:rsid w:val="6A172663"/>
    <w:rsid w:val="6A1D05D4"/>
    <w:rsid w:val="6A1D6FB1"/>
    <w:rsid w:val="6A1E4DD7"/>
    <w:rsid w:val="6A245089"/>
    <w:rsid w:val="6A25601C"/>
    <w:rsid w:val="6A2750C5"/>
    <w:rsid w:val="6A290AA5"/>
    <w:rsid w:val="6A2A46CE"/>
    <w:rsid w:val="6A2C7141"/>
    <w:rsid w:val="6A2F521E"/>
    <w:rsid w:val="6A342811"/>
    <w:rsid w:val="6A3A1167"/>
    <w:rsid w:val="6A3D030C"/>
    <w:rsid w:val="6A3F4FDB"/>
    <w:rsid w:val="6A4F4F6F"/>
    <w:rsid w:val="6A532FF6"/>
    <w:rsid w:val="6A601C8F"/>
    <w:rsid w:val="6A6A0FDF"/>
    <w:rsid w:val="6A7136BA"/>
    <w:rsid w:val="6A7174A5"/>
    <w:rsid w:val="6A72508F"/>
    <w:rsid w:val="6A732254"/>
    <w:rsid w:val="6A774894"/>
    <w:rsid w:val="6A7B34E6"/>
    <w:rsid w:val="6A7C4E7D"/>
    <w:rsid w:val="6A7E274B"/>
    <w:rsid w:val="6A800FE2"/>
    <w:rsid w:val="6A80364F"/>
    <w:rsid w:val="6A89112C"/>
    <w:rsid w:val="6A8C3EFF"/>
    <w:rsid w:val="6A905626"/>
    <w:rsid w:val="6A916EED"/>
    <w:rsid w:val="6A920BB3"/>
    <w:rsid w:val="6A9371B0"/>
    <w:rsid w:val="6A937D23"/>
    <w:rsid w:val="6A960003"/>
    <w:rsid w:val="6A9B5915"/>
    <w:rsid w:val="6A9B7735"/>
    <w:rsid w:val="6AA02774"/>
    <w:rsid w:val="6AA258AD"/>
    <w:rsid w:val="6AA41157"/>
    <w:rsid w:val="6AA96E57"/>
    <w:rsid w:val="6AAB2AD1"/>
    <w:rsid w:val="6AAE5F36"/>
    <w:rsid w:val="6AAF2259"/>
    <w:rsid w:val="6AB4101F"/>
    <w:rsid w:val="6AB45A03"/>
    <w:rsid w:val="6ABE4FFD"/>
    <w:rsid w:val="6ACB0C44"/>
    <w:rsid w:val="6ACC352D"/>
    <w:rsid w:val="6AD625D9"/>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229E3"/>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345D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3759D"/>
    <w:rsid w:val="6C06150E"/>
    <w:rsid w:val="6C1407B4"/>
    <w:rsid w:val="6C150C0B"/>
    <w:rsid w:val="6C155F31"/>
    <w:rsid w:val="6C206E21"/>
    <w:rsid w:val="6C263A06"/>
    <w:rsid w:val="6C265F77"/>
    <w:rsid w:val="6C336069"/>
    <w:rsid w:val="6C3A624E"/>
    <w:rsid w:val="6C3F4795"/>
    <w:rsid w:val="6C431738"/>
    <w:rsid w:val="6C442E2D"/>
    <w:rsid w:val="6C4B106D"/>
    <w:rsid w:val="6C505966"/>
    <w:rsid w:val="6C5D04BB"/>
    <w:rsid w:val="6C6216E6"/>
    <w:rsid w:val="6C65329A"/>
    <w:rsid w:val="6C666C3C"/>
    <w:rsid w:val="6C682E8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126C64"/>
    <w:rsid w:val="6D273B17"/>
    <w:rsid w:val="6D274676"/>
    <w:rsid w:val="6D2D5212"/>
    <w:rsid w:val="6D2F4B50"/>
    <w:rsid w:val="6D334D48"/>
    <w:rsid w:val="6D345EB6"/>
    <w:rsid w:val="6D35766D"/>
    <w:rsid w:val="6D374EDB"/>
    <w:rsid w:val="6D385ED1"/>
    <w:rsid w:val="6D3967DF"/>
    <w:rsid w:val="6D3B5F83"/>
    <w:rsid w:val="6D3C14B2"/>
    <w:rsid w:val="6D436625"/>
    <w:rsid w:val="6D4720E6"/>
    <w:rsid w:val="6D4A7F79"/>
    <w:rsid w:val="6D4B7436"/>
    <w:rsid w:val="6D500998"/>
    <w:rsid w:val="6D5419EC"/>
    <w:rsid w:val="6D547B4A"/>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406BC"/>
    <w:rsid w:val="6D9D3EE4"/>
    <w:rsid w:val="6D9E7C69"/>
    <w:rsid w:val="6DA51185"/>
    <w:rsid w:val="6DA546FA"/>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3403B"/>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9D50DF"/>
    <w:rsid w:val="6EA04ECD"/>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EFF44F4"/>
    <w:rsid w:val="6F021829"/>
    <w:rsid w:val="6F08724A"/>
    <w:rsid w:val="6F14289F"/>
    <w:rsid w:val="6F153E64"/>
    <w:rsid w:val="6F162C84"/>
    <w:rsid w:val="6F176D5B"/>
    <w:rsid w:val="6F263789"/>
    <w:rsid w:val="6F28474F"/>
    <w:rsid w:val="6F2E2136"/>
    <w:rsid w:val="6F350882"/>
    <w:rsid w:val="6F35635E"/>
    <w:rsid w:val="6F3713E9"/>
    <w:rsid w:val="6F384951"/>
    <w:rsid w:val="6F447F07"/>
    <w:rsid w:val="6F4876AF"/>
    <w:rsid w:val="6F4E4A74"/>
    <w:rsid w:val="6F537FC0"/>
    <w:rsid w:val="6F5E3CAA"/>
    <w:rsid w:val="6F607895"/>
    <w:rsid w:val="6F61040C"/>
    <w:rsid w:val="6F6776E1"/>
    <w:rsid w:val="6F702CF5"/>
    <w:rsid w:val="6F714EFF"/>
    <w:rsid w:val="6F7A0C79"/>
    <w:rsid w:val="6F7E1B78"/>
    <w:rsid w:val="6F8911B4"/>
    <w:rsid w:val="6F8D7897"/>
    <w:rsid w:val="6F9311AB"/>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6275E"/>
    <w:rsid w:val="6FFB0E00"/>
    <w:rsid w:val="6FFF10F4"/>
    <w:rsid w:val="70005FFB"/>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0659E"/>
    <w:rsid w:val="70494AF1"/>
    <w:rsid w:val="704A6916"/>
    <w:rsid w:val="7054528E"/>
    <w:rsid w:val="70555B90"/>
    <w:rsid w:val="705E76BE"/>
    <w:rsid w:val="70680AC8"/>
    <w:rsid w:val="70684400"/>
    <w:rsid w:val="706D51B8"/>
    <w:rsid w:val="70712877"/>
    <w:rsid w:val="70737F32"/>
    <w:rsid w:val="70767F2C"/>
    <w:rsid w:val="70785A86"/>
    <w:rsid w:val="707C55FA"/>
    <w:rsid w:val="707E62BB"/>
    <w:rsid w:val="70910C43"/>
    <w:rsid w:val="70920AC0"/>
    <w:rsid w:val="709244B6"/>
    <w:rsid w:val="70992BBC"/>
    <w:rsid w:val="709E4E34"/>
    <w:rsid w:val="709E640C"/>
    <w:rsid w:val="70A106DA"/>
    <w:rsid w:val="70A144AA"/>
    <w:rsid w:val="70A156F4"/>
    <w:rsid w:val="70A158DE"/>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14370"/>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723D0"/>
    <w:rsid w:val="71FC70DF"/>
    <w:rsid w:val="71FF2034"/>
    <w:rsid w:val="720319CB"/>
    <w:rsid w:val="72056436"/>
    <w:rsid w:val="720979A0"/>
    <w:rsid w:val="720F633E"/>
    <w:rsid w:val="72130B93"/>
    <w:rsid w:val="72137DD2"/>
    <w:rsid w:val="721C688B"/>
    <w:rsid w:val="72200AF0"/>
    <w:rsid w:val="7222668D"/>
    <w:rsid w:val="722E7DFE"/>
    <w:rsid w:val="723032E3"/>
    <w:rsid w:val="7235246C"/>
    <w:rsid w:val="723749D7"/>
    <w:rsid w:val="723908BB"/>
    <w:rsid w:val="723A2E71"/>
    <w:rsid w:val="7240223C"/>
    <w:rsid w:val="724219E5"/>
    <w:rsid w:val="724A1C04"/>
    <w:rsid w:val="724D4B1D"/>
    <w:rsid w:val="724E54F1"/>
    <w:rsid w:val="7254202A"/>
    <w:rsid w:val="72580671"/>
    <w:rsid w:val="725D29D6"/>
    <w:rsid w:val="725E4102"/>
    <w:rsid w:val="725F730D"/>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0257"/>
    <w:rsid w:val="729A297B"/>
    <w:rsid w:val="72A13C6B"/>
    <w:rsid w:val="72A310CE"/>
    <w:rsid w:val="72A60BAC"/>
    <w:rsid w:val="72AF09AE"/>
    <w:rsid w:val="72B23B41"/>
    <w:rsid w:val="72B373F2"/>
    <w:rsid w:val="72B71737"/>
    <w:rsid w:val="72B751B8"/>
    <w:rsid w:val="72BE13CE"/>
    <w:rsid w:val="72BE6371"/>
    <w:rsid w:val="72BF25A6"/>
    <w:rsid w:val="72C221EC"/>
    <w:rsid w:val="72CD1720"/>
    <w:rsid w:val="72CD7883"/>
    <w:rsid w:val="72CE3184"/>
    <w:rsid w:val="72CE7D06"/>
    <w:rsid w:val="72CF40C2"/>
    <w:rsid w:val="72D456A5"/>
    <w:rsid w:val="72E70D52"/>
    <w:rsid w:val="72EA6B66"/>
    <w:rsid w:val="72F04D76"/>
    <w:rsid w:val="72F17162"/>
    <w:rsid w:val="72F32F32"/>
    <w:rsid w:val="72FB32E0"/>
    <w:rsid w:val="72FB39EE"/>
    <w:rsid w:val="72FD2105"/>
    <w:rsid w:val="730235EB"/>
    <w:rsid w:val="7302733B"/>
    <w:rsid w:val="73036270"/>
    <w:rsid w:val="730469F7"/>
    <w:rsid w:val="73062BFE"/>
    <w:rsid w:val="73093536"/>
    <w:rsid w:val="73134A36"/>
    <w:rsid w:val="731649D2"/>
    <w:rsid w:val="731C28E7"/>
    <w:rsid w:val="731F2440"/>
    <w:rsid w:val="7320175D"/>
    <w:rsid w:val="73222906"/>
    <w:rsid w:val="73254DFB"/>
    <w:rsid w:val="7326097A"/>
    <w:rsid w:val="73267BB8"/>
    <w:rsid w:val="73283BA4"/>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3270"/>
    <w:rsid w:val="736E46F1"/>
    <w:rsid w:val="737E1149"/>
    <w:rsid w:val="7380059C"/>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36613"/>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465F62"/>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14E7D"/>
    <w:rsid w:val="74D575AA"/>
    <w:rsid w:val="74D71DDE"/>
    <w:rsid w:val="74D95703"/>
    <w:rsid w:val="74DA7956"/>
    <w:rsid w:val="74E11F86"/>
    <w:rsid w:val="74FB509B"/>
    <w:rsid w:val="74FB6035"/>
    <w:rsid w:val="74FF07F1"/>
    <w:rsid w:val="7502618E"/>
    <w:rsid w:val="7507587E"/>
    <w:rsid w:val="750934A8"/>
    <w:rsid w:val="750A15E4"/>
    <w:rsid w:val="750C76FA"/>
    <w:rsid w:val="751C5464"/>
    <w:rsid w:val="751E29FC"/>
    <w:rsid w:val="752B3381"/>
    <w:rsid w:val="75325694"/>
    <w:rsid w:val="7534402F"/>
    <w:rsid w:val="75376E15"/>
    <w:rsid w:val="753B454F"/>
    <w:rsid w:val="753D6B7D"/>
    <w:rsid w:val="75441B17"/>
    <w:rsid w:val="75457EFF"/>
    <w:rsid w:val="7554481F"/>
    <w:rsid w:val="75594581"/>
    <w:rsid w:val="755A35FA"/>
    <w:rsid w:val="755A5494"/>
    <w:rsid w:val="755E4583"/>
    <w:rsid w:val="75625A16"/>
    <w:rsid w:val="7564200E"/>
    <w:rsid w:val="75663FD1"/>
    <w:rsid w:val="75677137"/>
    <w:rsid w:val="75696461"/>
    <w:rsid w:val="756F19B6"/>
    <w:rsid w:val="757540E3"/>
    <w:rsid w:val="757D2DDE"/>
    <w:rsid w:val="7586018C"/>
    <w:rsid w:val="758F201D"/>
    <w:rsid w:val="75904ECF"/>
    <w:rsid w:val="75912385"/>
    <w:rsid w:val="759739B3"/>
    <w:rsid w:val="75991C4A"/>
    <w:rsid w:val="75992925"/>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D1230F"/>
    <w:rsid w:val="75D357A7"/>
    <w:rsid w:val="75DA5FC8"/>
    <w:rsid w:val="75DB08A6"/>
    <w:rsid w:val="75DB5FA1"/>
    <w:rsid w:val="75DB5FA3"/>
    <w:rsid w:val="75E2330A"/>
    <w:rsid w:val="75E7499A"/>
    <w:rsid w:val="75F75D00"/>
    <w:rsid w:val="75F8074C"/>
    <w:rsid w:val="7600209C"/>
    <w:rsid w:val="760049B0"/>
    <w:rsid w:val="760200DC"/>
    <w:rsid w:val="760218FE"/>
    <w:rsid w:val="76070A73"/>
    <w:rsid w:val="761014A5"/>
    <w:rsid w:val="76101CE0"/>
    <w:rsid w:val="76213B4B"/>
    <w:rsid w:val="7623481D"/>
    <w:rsid w:val="76240922"/>
    <w:rsid w:val="76250B12"/>
    <w:rsid w:val="762D3356"/>
    <w:rsid w:val="762D70E7"/>
    <w:rsid w:val="7630359D"/>
    <w:rsid w:val="76324D51"/>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C377B"/>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44AEA"/>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3F3295"/>
    <w:rsid w:val="77422DC5"/>
    <w:rsid w:val="7743723B"/>
    <w:rsid w:val="77451EB6"/>
    <w:rsid w:val="77490C6C"/>
    <w:rsid w:val="774B3934"/>
    <w:rsid w:val="774D0C35"/>
    <w:rsid w:val="774D47BD"/>
    <w:rsid w:val="775352E9"/>
    <w:rsid w:val="77551F00"/>
    <w:rsid w:val="775A3307"/>
    <w:rsid w:val="775B4F33"/>
    <w:rsid w:val="77600ABE"/>
    <w:rsid w:val="77646225"/>
    <w:rsid w:val="77650E66"/>
    <w:rsid w:val="77653866"/>
    <w:rsid w:val="77665075"/>
    <w:rsid w:val="77681858"/>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09D2"/>
    <w:rsid w:val="77EE19D2"/>
    <w:rsid w:val="77EF4577"/>
    <w:rsid w:val="77F62755"/>
    <w:rsid w:val="77F62779"/>
    <w:rsid w:val="77F92249"/>
    <w:rsid w:val="780126CE"/>
    <w:rsid w:val="78036043"/>
    <w:rsid w:val="780F6CAF"/>
    <w:rsid w:val="780F6F82"/>
    <w:rsid w:val="781164D0"/>
    <w:rsid w:val="7813374F"/>
    <w:rsid w:val="781838FF"/>
    <w:rsid w:val="781A21DD"/>
    <w:rsid w:val="781B3886"/>
    <w:rsid w:val="782466AD"/>
    <w:rsid w:val="782A738E"/>
    <w:rsid w:val="782B6927"/>
    <w:rsid w:val="78306028"/>
    <w:rsid w:val="78316382"/>
    <w:rsid w:val="78334628"/>
    <w:rsid w:val="783354A3"/>
    <w:rsid w:val="78355626"/>
    <w:rsid w:val="783643C3"/>
    <w:rsid w:val="78375EBD"/>
    <w:rsid w:val="783A01F4"/>
    <w:rsid w:val="783B20A5"/>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BD324C"/>
    <w:rsid w:val="78BD4FE7"/>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96906"/>
    <w:rsid w:val="78FC7FC2"/>
    <w:rsid w:val="79005A66"/>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2D14A3"/>
    <w:rsid w:val="7930058A"/>
    <w:rsid w:val="793248F9"/>
    <w:rsid w:val="79350D11"/>
    <w:rsid w:val="79351894"/>
    <w:rsid w:val="793573DB"/>
    <w:rsid w:val="7940572D"/>
    <w:rsid w:val="794353F6"/>
    <w:rsid w:val="79461391"/>
    <w:rsid w:val="79474814"/>
    <w:rsid w:val="79492AA1"/>
    <w:rsid w:val="794B4D74"/>
    <w:rsid w:val="79501475"/>
    <w:rsid w:val="79524043"/>
    <w:rsid w:val="795A5499"/>
    <w:rsid w:val="796602EF"/>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48D7"/>
    <w:rsid w:val="79C95AED"/>
    <w:rsid w:val="79D62785"/>
    <w:rsid w:val="79DF1EBA"/>
    <w:rsid w:val="79E07F61"/>
    <w:rsid w:val="79E12ED9"/>
    <w:rsid w:val="79E352FF"/>
    <w:rsid w:val="79E9023D"/>
    <w:rsid w:val="79ED6701"/>
    <w:rsid w:val="79EE7975"/>
    <w:rsid w:val="79EE7E8E"/>
    <w:rsid w:val="79F30A3A"/>
    <w:rsid w:val="79F934E7"/>
    <w:rsid w:val="79FB2D0B"/>
    <w:rsid w:val="7A0206F4"/>
    <w:rsid w:val="7A027298"/>
    <w:rsid w:val="7A052E17"/>
    <w:rsid w:val="7A097B67"/>
    <w:rsid w:val="7A0F1525"/>
    <w:rsid w:val="7A10389D"/>
    <w:rsid w:val="7A157806"/>
    <w:rsid w:val="7A200921"/>
    <w:rsid w:val="7A245751"/>
    <w:rsid w:val="7A262C2D"/>
    <w:rsid w:val="7A290013"/>
    <w:rsid w:val="7A291938"/>
    <w:rsid w:val="7A303F52"/>
    <w:rsid w:val="7A3C7419"/>
    <w:rsid w:val="7A3D7CC0"/>
    <w:rsid w:val="7A4006D3"/>
    <w:rsid w:val="7A4801BB"/>
    <w:rsid w:val="7A485CE1"/>
    <w:rsid w:val="7A491EF3"/>
    <w:rsid w:val="7A4D07BA"/>
    <w:rsid w:val="7A5863D3"/>
    <w:rsid w:val="7A5C5FAF"/>
    <w:rsid w:val="7A634604"/>
    <w:rsid w:val="7A64499E"/>
    <w:rsid w:val="7A660CFF"/>
    <w:rsid w:val="7A6656B6"/>
    <w:rsid w:val="7A665F09"/>
    <w:rsid w:val="7A6C3449"/>
    <w:rsid w:val="7A6D128E"/>
    <w:rsid w:val="7A711BBA"/>
    <w:rsid w:val="7A723F72"/>
    <w:rsid w:val="7A743D9C"/>
    <w:rsid w:val="7A7B2C10"/>
    <w:rsid w:val="7A7D4128"/>
    <w:rsid w:val="7A7E70A2"/>
    <w:rsid w:val="7A8075BA"/>
    <w:rsid w:val="7A820760"/>
    <w:rsid w:val="7A840729"/>
    <w:rsid w:val="7A87742E"/>
    <w:rsid w:val="7A9123B7"/>
    <w:rsid w:val="7A921CA9"/>
    <w:rsid w:val="7A9567DD"/>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1236"/>
    <w:rsid w:val="7AE55787"/>
    <w:rsid w:val="7AE833BC"/>
    <w:rsid w:val="7AF91DAF"/>
    <w:rsid w:val="7AF9607E"/>
    <w:rsid w:val="7B0072B4"/>
    <w:rsid w:val="7B0211AC"/>
    <w:rsid w:val="7B0677B4"/>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569FF"/>
    <w:rsid w:val="7B6E2AB1"/>
    <w:rsid w:val="7B736B52"/>
    <w:rsid w:val="7B771CED"/>
    <w:rsid w:val="7B7C1A5E"/>
    <w:rsid w:val="7B841287"/>
    <w:rsid w:val="7B8726D4"/>
    <w:rsid w:val="7B8D07A1"/>
    <w:rsid w:val="7B901B0B"/>
    <w:rsid w:val="7B9422CC"/>
    <w:rsid w:val="7B9E7675"/>
    <w:rsid w:val="7BA0581E"/>
    <w:rsid w:val="7BA10DD7"/>
    <w:rsid w:val="7BA22D26"/>
    <w:rsid w:val="7BA521BC"/>
    <w:rsid w:val="7BA63294"/>
    <w:rsid w:val="7BAA2B37"/>
    <w:rsid w:val="7BAB7079"/>
    <w:rsid w:val="7BAC041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1626B"/>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90CFA"/>
    <w:rsid w:val="7C9A2FA3"/>
    <w:rsid w:val="7C9E5A24"/>
    <w:rsid w:val="7CA3583F"/>
    <w:rsid w:val="7CA67728"/>
    <w:rsid w:val="7CB027DF"/>
    <w:rsid w:val="7CB2364E"/>
    <w:rsid w:val="7CB271E9"/>
    <w:rsid w:val="7CB62523"/>
    <w:rsid w:val="7CCA5583"/>
    <w:rsid w:val="7CCE6E72"/>
    <w:rsid w:val="7CCF1812"/>
    <w:rsid w:val="7CD72F9B"/>
    <w:rsid w:val="7CD824D6"/>
    <w:rsid w:val="7CDE70DF"/>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70BA6"/>
    <w:rsid w:val="7D281397"/>
    <w:rsid w:val="7D292A41"/>
    <w:rsid w:val="7D2A5CCB"/>
    <w:rsid w:val="7D3341E7"/>
    <w:rsid w:val="7D377B94"/>
    <w:rsid w:val="7D401CAA"/>
    <w:rsid w:val="7D4E195B"/>
    <w:rsid w:val="7D4F4ABB"/>
    <w:rsid w:val="7D515EFA"/>
    <w:rsid w:val="7D5431B0"/>
    <w:rsid w:val="7D5A6FBE"/>
    <w:rsid w:val="7D5F4211"/>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17F8F"/>
    <w:rsid w:val="7DBE609A"/>
    <w:rsid w:val="7DBF2E7A"/>
    <w:rsid w:val="7DC266E0"/>
    <w:rsid w:val="7DC4279D"/>
    <w:rsid w:val="7DCA054D"/>
    <w:rsid w:val="7DCC7A63"/>
    <w:rsid w:val="7DD7657D"/>
    <w:rsid w:val="7DDA6C39"/>
    <w:rsid w:val="7DE15552"/>
    <w:rsid w:val="7DE16744"/>
    <w:rsid w:val="7DE653AB"/>
    <w:rsid w:val="7DE71438"/>
    <w:rsid w:val="7DEA3B2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6C3ECF"/>
    <w:rsid w:val="7E712F31"/>
    <w:rsid w:val="7E73403B"/>
    <w:rsid w:val="7E750E81"/>
    <w:rsid w:val="7E760C9A"/>
    <w:rsid w:val="7E761EFC"/>
    <w:rsid w:val="7E79060D"/>
    <w:rsid w:val="7E7E2B41"/>
    <w:rsid w:val="7E8D3E75"/>
    <w:rsid w:val="7E8E073B"/>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26219"/>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24BFA"/>
    <w:rsid w:val="7F536DE1"/>
    <w:rsid w:val="7F6339F7"/>
    <w:rsid w:val="7F6645A4"/>
    <w:rsid w:val="7F8403DB"/>
    <w:rsid w:val="7F8660CD"/>
    <w:rsid w:val="7F8A2E2C"/>
    <w:rsid w:val="7F963419"/>
    <w:rsid w:val="7F98528E"/>
    <w:rsid w:val="7FA069EC"/>
    <w:rsid w:val="7FB351E6"/>
    <w:rsid w:val="7FB422D4"/>
    <w:rsid w:val="7FBD0C23"/>
    <w:rsid w:val="7FD277AE"/>
    <w:rsid w:val="7FD47C81"/>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character" w:customStyle="1" w:styleId="107">
    <w:name w:val="font61"/>
    <w:basedOn w:val="27"/>
    <w:qFormat/>
    <w:uiPriority w:val="0"/>
    <w:rPr>
      <w:rFonts w:hint="default" w:ascii="Arial" w:hAnsi="Arial" w:cs="Arial"/>
      <w:color w:val="000000"/>
      <w:sz w:val="18"/>
      <w:szCs w:val="18"/>
      <w:u w:val="none"/>
    </w:rPr>
  </w:style>
  <w:style w:type="character" w:customStyle="1" w:styleId="108">
    <w:name w:val="font51"/>
    <w:basedOn w:val="27"/>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5</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2024-11-08T14:08:42Z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C2490444A96640D8B7FA841D62F10BA8</vt:lpwstr>
  </property>
</Properties>
</file>